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77777777" w:rsidR="002748EB" w:rsidRPr="00FB34A5" w:rsidRDefault="002748EB" w:rsidP="00FB34A5">
                            <w:pPr>
                              <w:pStyle w:val="Title"/>
                            </w:pPr>
                            <w:r w:rsidRPr="00FB34A5">
                              <w:t>Adolescent violence in the home</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77777777" w:rsidR="002748EB" w:rsidRPr="00FB34A5" w:rsidRDefault="002748EB" w:rsidP="00FB34A5">
                      <w:pPr>
                        <w:pStyle w:val="Title"/>
                      </w:pPr>
                      <w:r w:rsidRPr="00FB34A5">
                        <w:t>Adolescent violence in the home</w:t>
                      </w:r>
                    </w:p>
                    <w:p w14:paraId="3C7F45F5" w14:textId="6079F821" w:rsidR="002748EB" w:rsidRPr="004B6AB2" w:rsidRDefault="002748EB" w:rsidP="002748EB">
                      <w:pPr>
                        <w:pStyle w:val="Subtitle"/>
                        <w:rPr>
                          <w:color w:val="FFFDEE" w:themeColor="background1"/>
                        </w:rPr>
                      </w:pPr>
                      <w:r>
                        <w:rPr>
                          <w:color w:val="FFFDEE" w:themeColor="background1"/>
                        </w:rPr>
                        <w:t>Research summary</w:t>
                      </w:r>
                    </w:p>
                    <w:p w14:paraId="79ABAE47" w14:textId="77777777" w:rsidR="002748EB" w:rsidRDefault="002748EB" w:rsidP="002748EB">
                      <w:pPr>
                        <w:pStyle w:val="Subtitle"/>
                      </w:pP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headerReference w:type="even" r:id="rId11"/>
              <w:headerReference w:type="default" r:id="rId12"/>
              <w:footerReference w:type="even" r:id="rId13"/>
              <w:footerReference w:type="default" r:id="rId14"/>
              <w:headerReference w:type="first" r:id="rId15"/>
              <w:footerReference w:type="first" r:id="rId16"/>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58BFE5E0">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3979B234"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6170FEE3">
                <wp:simplePos x="0" y="0"/>
                <wp:positionH relativeFrom="page">
                  <wp:posOffset>-39931</wp:posOffset>
                </wp:positionH>
                <wp:positionV relativeFrom="paragraph">
                  <wp:posOffset>-674148</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3.15pt;margin-top:-53.1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3045D6" w:rsidRPr="003045D6">
        <w:t>Adolescent violence in the home (AVITH)</w:t>
      </w:r>
    </w:p>
    <w:p w14:paraId="6F649BCE" w14:textId="77777777" w:rsidR="00CE2F77" w:rsidRDefault="00CE2F77" w:rsidP="00CE2F77">
      <w:r>
        <w:t>This research summary draws on an evidence review undertaken by Elena Campbell (Centre for Innovative Justice, RMIT) and Liz Wall (Australian Institute of Family Studies) in 2022 as part of the Summarising the evidence project. The summary was developed by Respect Victoria in consultation with the evidence review authors.</w:t>
      </w:r>
    </w:p>
    <w:p w14:paraId="01BA0FEC" w14:textId="2583A041" w:rsidR="00CE2F77" w:rsidRDefault="00CE2F77" w:rsidP="00CE2F77">
      <w:r w:rsidRPr="00837D46">
        <w:rPr>
          <w:u w:color="FF4900"/>
        </w:rPr>
        <w:t xml:space="preserve">Visit the </w:t>
      </w:r>
      <w:hyperlink r:id="rId19" w:history="1">
        <w:r w:rsidRPr="00F74EF7">
          <w:rPr>
            <w:rStyle w:val="Hyperlink"/>
            <w:rFonts w:ascii="Arial" w:hAnsi="Arial"/>
            <w:i/>
            <w:iCs/>
          </w:rPr>
          <w:t xml:space="preserve">Summarising </w:t>
        </w:r>
        <w:r w:rsidRPr="00E34C58">
          <w:rPr>
            <w:rStyle w:val="FollowedHyperlink"/>
          </w:rPr>
          <w:t>the</w:t>
        </w:r>
        <w:r w:rsidRPr="00F74EF7">
          <w:rPr>
            <w:rStyle w:val="Hyperlink"/>
            <w:rFonts w:ascii="Arial" w:hAnsi="Arial"/>
            <w:i/>
            <w:iCs/>
          </w:rPr>
          <w:t xml:space="preserve"> evidence</w:t>
        </w:r>
        <w:r w:rsidRPr="00F74EF7">
          <w:rPr>
            <w:rStyle w:val="Hyperlink"/>
            <w:rFonts w:ascii="Arial" w:hAnsi="Arial"/>
          </w:rPr>
          <w:t xml:space="preserve"> project page</w:t>
        </w:r>
      </w:hyperlink>
      <w:r>
        <w:t xml:space="preserve"> for the accompanying context brief, as well as information about the scope and aims of the project.</w:t>
      </w:r>
    </w:p>
    <w:p w14:paraId="6146FB73" w14:textId="5158310B" w:rsidR="00CE2F77" w:rsidRDefault="00CE2F77" w:rsidP="00CE2F77">
      <w:r>
        <w:t>Respect Victoria gratefully acknowledges the work of the Australian Institute of Family Studies and all authors in conducting this work.</w:t>
      </w:r>
    </w:p>
    <w:p w14:paraId="201B1AE4" w14:textId="77777777" w:rsidR="00CE2F77" w:rsidRDefault="00CE2F77" w:rsidP="00CE2F77"/>
    <w:p w14:paraId="465081A9" w14:textId="77777777" w:rsidR="00837D46" w:rsidRDefault="00837D46" w:rsidP="00CE2F77"/>
    <w:p w14:paraId="06EC07C6" w14:textId="77777777" w:rsidR="00837D46" w:rsidRDefault="00837D46" w:rsidP="00CE2F77"/>
    <w:p w14:paraId="2CB2CDFB" w14:textId="77777777" w:rsidR="00837D46" w:rsidRDefault="00837D46" w:rsidP="00CE2F77"/>
    <w:p w14:paraId="0EDCE2E1" w14:textId="77777777" w:rsidR="00CE2F77" w:rsidRDefault="00CE2F77" w:rsidP="00CE2F77"/>
    <w:p w14:paraId="3D8564D9" w14:textId="77777777" w:rsidR="00CE2F77" w:rsidRDefault="00CE2F77"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04E21176" w14:textId="77777777" w:rsidR="00CE2F77" w:rsidRDefault="00CE2F77" w:rsidP="00CE2F77"/>
    <w:p w14:paraId="626B7843" w14:textId="77777777" w:rsidR="00CE2F77" w:rsidRDefault="00CE2F77" w:rsidP="00CE2F77"/>
    <w:p w14:paraId="7E3002A3" w14:textId="77777777" w:rsidR="00CE2F77" w:rsidRPr="006D1835" w:rsidRDefault="00CE2F77" w:rsidP="00CE2F77"/>
    <w:p w14:paraId="79B2EDA3" w14:textId="77777777" w:rsidR="00CE2F77" w:rsidRPr="00BC10E6" w:rsidRDefault="00CE2F77" w:rsidP="00CE2F77"/>
    <w:p w14:paraId="32194733" w14:textId="77777777" w:rsidR="00E97906" w:rsidRDefault="00E97906" w:rsidP="00BC10E6"/>
    <w:p w14:paraId="0ECD4F4A" w14:textId="77777777" w:rsidR="000450A2" w:rsidRDefault="000450A2" w:rsidP="00BC10E6"/>
    <w:tbl>
      <w:tblPr>
        <w:tblStyle w:val="RespectVictoriaTable"/>
        <w:tblW w:w="9935" w:type="dxa"/>
        <w:tblLook w:val="04A0" w:firstRow="1" w:lastRow="0" w:firstColumn="1" w:lastColumn="0" w:noHBand="0" w:noVBand="1"/>
      </w:tblPr>
      <w:tblGrid>
        <w:gridCol w:w="1747"/>
        <w:gridCol w:w="8188"/>
      </w:tblGrid>
      <w:tr w:rsidR="004144B4" w:rsidRPr="00077FBD" w14:paraId="6687DA74" w14:textId="77777777" w:rsidTr="004144B4">
        <w:trPr>
          <w:cnfStyle w:val="100000000000" w:firstRow="1" w:lastRow="0" w:firstColumn="0" w:lastColumn="0" w:oddVBand="0" w:evenVBand="0" w:oddHBand="0" w:evenHBand="0" w:firstRowFirstColumn="0" w:firstRowLastColumn="0" w:lastRowFirstColumn="0" w:lastRowLastColumn="0"/>
          <w:trHeight w:val="311"/>
        </w:trPr>
        <w:tc>
          <w:tcPr>
            <w:tcW w:w="1747" w:type="dxa"/>
          </w:tcPr>
          <w:p w14:paraId="7567829A" w14:textId="77777777" w:rsidR="004144B4" w:rsidRPr="004144B4" w:rsidRDefault="004144B4" w:rsidP="00C75487">
            <w:pPr>
              <w:pStyle w:val="TableHeading"/>
              <w:spacing w:before="0" w:after="0"/>
              <w:rPr>
                <w:b/>
                <w:bCs w:val="0"/>
                <w:color w:val="003639" w:themeColor="text1"/>
                <w:sz w:val="22"/>
                <w:szCs w:val="22"/>
              </w:rPr>
            </w:pPr>
            <w:r>
              <w:rPr>
                <w:lang w:val="en-GB"/>
              </w:rPr>
              <w:lastRenderedPageBreak/>
              <w:br w:type="page"/>
            </w:r>
            <w:r w:rsidRPr="004144B4">
              <w:rPr>
                <w:b/>
                <w:bCs w:val="0"/>
                <w:color w:val="003639" w:themeColor="text1"/>
                <w:sz w:val="22"/>
                <w:szCs w:val="22"/>
              </w:rPr>
              <w:t>Domain</w:t>
            </w:r>
          </w:p>
        </w:tc>
        <w:tc>
          <w:tcPr>
            <w:tcW w:w="8188" w:type="dxa"/>
          </w:tcPr>
          <w:p w14:paraId="1F0A3B0B" w14:textId="77777777" w:rsidR="004144B4" w:rsidRPr="004144B4" w:rsidRDefault="004144B4" w:rsidP="004144B4">
            <w:pPr>
              <w:pStyle w:val="TableHeading"/>
              <w:spacing w:before="0" w:after="0"/>
              <w:rPr>
                <w:b/>
                <w:bCs w:val="0"/>
                <w:color w:val="003639" w:themeColor="text1"/>
                <w:sz w:val="22"/>
                <w:szCs w:val="22"/>
              </w:rPr>
            </w:pPr>
            <w:r w:rsidRPr="004144B4">
              <w:rPr>
                <w:b/>
                <w:bCs w:val="0"/>
                <w:color w:val="003639" w:themeColor="text1"/>
                <w:sz w:val="22"/>
                <w:szCs w:val="22"/>
              </w:rPr>
              <w:t>Summary of research</w:t>
            </w:r>
          </w:p>
        </w:tc>
      </w:tr>
      <w:tr w:rsidR="004144B4" w:rsidRPr="00A54CE5" w14:paraId="262313E1" w14:textId="77777777" w:rsidTr="004144B4">
        <w:trPr>
          <w:trHeight w:val="418"/>
        </w:trPr>
        <w:tc>
          <w:tcPr>
            <w:tcW w:w="1747" w:type="dxa"/>
          </w:tcPr>
          <w:p w14:paraId="04D47C98" w14:textId="77777777" w:rsidR="004144B4" w:rsidRPr="00A54CE5" w:rsidRDefault="004144B4" w:rsidP="00C75487">
            <w:pPr>
              <w:spacing w:before="60" w:after="60" w:line="240" w:lineRule="auto"/>
              <w:jc w:val="both"/>
              <w:rPr>
                <w:rFonts w:eastAsia="Times New Roman"/>
                <w:b/>
                <w:bCs/>
                <w:szCs w:val="20"/>
                <w:lang w:eastAsia="en-AU" w:bidi="en-US"/>
              </w:rPr>
            </w:pPr>
            <w:r>
              <w:rPr>
                <w:rFonts w:eastAsia="Times New Roman"/>
                <w:b/>
                <w:bCs/>
                <w:szCs w:val="20"/>
                <w:lang w:eastAsia="en-AU" w:bidi="en-US"/>
              </w:rPr>
              <w:t>Definition</w:t>
            </w:r>
          </w:p>
        </w:tc>
        <w:tc>
          <w:tcPr>
            <w:tcW w:w="8188" w:type="dxa"/>
          </w:tcPr>
          <w:p w14:paraId="66BC8EA3" w14:textId="77777777" w:rsidR="004144B4" w:rsidRPr="009E0A4C" w:rsidRDefault="004144B4" w:rsidP="004144B4">
            <w:pPr>
              <w:rPr>
                <w:rFonts w:eastAsia="Times New Roman"/>
                <w:color w:val="003639" w:themeColor="text1"/>
                <w:lang w:eastAsia="en-AU" w:bidi="en-US"/>
              </w:rPr>
            </w:pPr>
            <w:r w:rsidRPr="007815DF">
              <w:rPr>
                <w:bCs/>
              </w:rPr>
              <w:t xml:space="preserve">A consistent definition of </w:t>
            </w:r>
            <w:r>
              <w:rPr>
                <w:bCs/>
              </w:rPr>
              <w:t>adolescent violence in the home (</w:t>
            </w:r>
            <w:r w:rsidRPr="007815DF">
              <w:rPr>
                <w:bCs/>
              </w:rPr>
              <w:t>AVITH</w:t>
            </w:r>
            <w:r>
              <w:rPr>
                <w:bCs/>
              </w:rPr>
              <w:t>)</w:t>
            </w:r>
            <w:r w:rsidRPr="007815DF">
              <w:rPr>
                <w:bCs/>
              </w:rPr>
              <w:t xml:space="preserve"> is yet to be established in Australia</w:t>
            </w:r>
            <w:r w:rsidRPr="007815DF">
              <w:rPr>
                <w:rFonts w:eastAsia="Times New Roman"/>
                <w:lang w:eastAsia="en-AU" w:bidi="en-US"/>
              </w:rPr>
              <w:t>. One definition developed is</w:t>
            </w:r>
            <w:r w:rsidRPr="007815DF">
              <w:t xml:space="preserve"> ‘repeated [behaviour] of physical, psychological (verbal or nonverbal) or economic violence, directed toward the parents, siblings or the people who occupy their place</w:t>
            </w:r>
            <w:r>
              <w:t>.</w:t>
            </w:r>
            <w:r w:rsidRPr="007815DF">
              <w:t>’</w:t>
            </w:r>
            <w:r w:rsidRPr="005D6C0F">
              <w:rPr>
                <w:noProof/>
                <w:vertAlign w:val="superscript"/>
              </w:rPr>
              <w:t>1</w:t>
            </w:r>
            <w:r w:rsidRPr="007815DF">
              <w:rPr>
                <w:i/>
                <w:iCs/>
              </w:rPr>
              <w:t xml:space="preserve"> </w:t>
            </w:r>
            <w:r w:rsidRPr="007815DF">
              <w:rPr>
                <w:rFonts w:eastAsia="Times New Roman"/>
                <w:lang w:eastAsia="en-AU" w:bidi="en-US"/>
              </w:rPr>
              <w:t xml:space="preserve">This particular definition excludes: one-off aggressions 1) that occur in a state of diminished consciousness which disappear upon recovery (intoxications, withdrawal </w:t>
            </w:r>
            <w:r w:rsidRPr="000B0823">
              <w:rPr>
                <w:rFonts w:eastAsia="Times New Roman"/>
                <w:lang w:eastAsia="en-AU" w:bidi="en-US"/>
              </w:rPr>
              <w:t>syndromes, delirious states or hallucinations); 2) caused by (transient or stable) psychological disorders (autism or other neurodivergence or severe mental deficiency); and 3) parricide without</w:t>
            </w:r>
            <w:r w:rsidRPr="006E06B0">
              <w:rPr>
                <w:rFonts w:eastAsia="Times New Roman"/>
                <w:lang w:eastAsia="en-AU" w:bidi="en-US"/>
              </w:rPr>
              <w:t xml:space="preserve"> a history of previous aggression. </w:t>
            </w:r>
            <w:r w:rsidRPr="007815DF">
              <w:rPr>
                <w:rFonts w:eastAsia="Times New Roman"/>
                <w:lang w:eastAsia="en-AU" w:bidi="en-US"/>
              </w:rPr>
              <w:t xml:space="preserve">It </w:t>
            </w:r>
            <w:r w:rsidRPr="009E0A4C">
              <w:rPr>
                <w:rFonts w:eastAsia="Times New Roman"/>
                <w:color w:val="003639" w:themeColor="text1"/>
                <w:lang w:eastAsia="en-AU" w:bidi="en-US"/>
              </w:rPr>
              <w:t>should be noted that:</w:t>
            </w:r>
          </w:p>
          <w:p w14:paraId="6AB8DEA0" w14:textId="77777777" w:rsidR="004144B4" w:rsidRPr="009E0A4C" w:rsidRDefault="004144B4" w:rsidP="00872031">
            <w:pPr>
              <w:pStyle w:val="ListParagraph"/>
              <w:numPr>
                <w:ilvl w:val="0"/>
                <w:numId w:val="61"/>
              </w:numPr>
              <w:rPr>
                <w:rFonts w:asciiTheme="minorHAnsi" w:hAnsiTheme="minorHAnsi" w:cstheme="minorHAnsi"/>
                <w:color w:val="003639" w:themeColor="text1"/>
              </w:rPr>
            </w:pPr>
            <w:r w:rsidRPr="009E0A4C">
              <w:rPr>
                <w:color w:val="003639" w:themeColor="text1"/>
              </w:rPr>
              <w:t xml:space="preserve">Other </w:t>
            </w:r>
            <w:r w:rsidRPr="009E0A4C">
              <w:rPr>
                <w:rFonts w:asciiTheme="minorHAnsi" w:hAnsiTheme="minorHAnsi" w:cstheme="minorHAnsi"/>
                <w:color w:val="003639" w:themeColor="text1"/>
              </w:rPr>
              <w:t>definitions of AVITH do not require a repeated pattern of behaviour</w:t>
            </w:r>
            <w:r w:rsidRPr="005D6C0F">
              <w:rPr>
                <w:rFonts w:asciiTheme="minorHAnsi" w:hAnsiTheme="minorHAnsi" w:cstheme="minorHAnsi"/>
                <w:noProof/>
                <w:color w:val="003639" w:themeColor="text1"/>
                <w:vertAlign w:val="superscript"/>
              </w:rPr>
              <w:t>2</w:t>
            </w:r>
          </w:p>
          <w:p w14:paraId="5141910B" w14:textId="77777777" w:rsidR="00424434" w:rsidRDefault="004144B4" w:rsidP="00872031">
            <w:pPr>
              <w:pStyle w:val="ListParagraph"/>
              <w:numPr>
                <w:ilvl w:val="0"/>
                <w:numId w:val="61"/>
              </w:numPr>
              <w:rPr>
                <w:rFonts w:asciiTheme="minorHAnsi" w:hAnsiTheme="minorHAnsi" w:cstheme="minorHAnsi"/>
                <w:color w:val="003639" w:themeColor="text1"/>
                <w:lang w:eastAsia="en-AU"/>
              </w:rPr>
            </w:pPr>
            <w:r w:rsidRPr="009E0A4C">
              <w:rPr>
                <w:rFonts w:asciiTheme="minorHAnsi" w:hAnsiTheme="minorHAnsi" w:cstheme="minorHAnsi"/>
                <w:color w:val="003639" w:themeColor="text1"/>
                <w:lang w:eastAsia="en-AU"/>
              </w:rPr>
              <w:t>There is variation in the age range captured by the differing definitions of AVITH. This can range from pre-adolescent children to early adulthood</w:t>
            </w:r>
            <w:r w:rsidRPr="005D6C0F">
              <w:rPr>
                <w:rFonts w:asciiTheme="minorHAnsi" w:hAnsiTheme="minorHAnsi" w:cstheme="minorHAnsi"/>
                <w:noProof/>
                <w:color w:val="003639" w:themeColor="text1"/>
                <w:vertAlign w:val="superscript"/>
                <w:lang w:eastAsia="en-AU"/>
              </w:rPr>
              <w:t>3</w:t>
            </w:r>
            <w:r w:rsidRPr="009E0A4C">
              <w:rPr>
                <w:rFonts w:asciiTheme="minorHAnsi" w:hAnsiTheme="minorHAnsi" w:cstheme="minorHAnsi"/>
                <w:color w:val="003639" w:themeColor="text1"/>
                <w:lang w:eastAsia="en-AU"/>
              </w:rPr>
              <w:t xml:space="preserve"> </w:t>
            </w:r>
          </w:p>
          <w:p w14:paraId="78491121" w14:textId="1865D866" w:rsidR="009F1366" w:rsidRPr="009F1366" w:rsidRDefault="004144B4" w:rsidP="009F1366">
            <w:pPr>
              <w:pStyle w:val="ListParagraph"/>
              <w:numPr>
                <w:ilvl w:val="0"/>
                <w:numId w:val="61"/>
              </w:numPr>
              <w:rPr>
                <w:rFonts w:asciiTheme="minorHAnsi" w:hAnsiTheme="minorHAnsi" w:cstheme="minorHAnsi"/>
                <w:color w:val="003639" w:themeColor="text1"/>
                <w:lang w:eastAsia="en-AU"/>
              </w:rPr>
            </w:pPr>
            <w:r w:rsidRPr="00424434">
              <w:rPr>
                <w:rStyle w:val="cf01"/>
                <w:rFonts w:asciiTheme="minorHAnsi" w:hAnsiTheme="minorHAnsi" w:cstheme="minorHAnsi"/>
                <w:color w:val="003639" w:themeColor="text1"/>
                <w:sz w:val="22"/>
                <w:szCs w:val="22"/>
              </w:rPr>
              <w:t xml:space="preserve">The exclusion of AVITH where disability/psychological disorders are indicated presents complexity for understanding both the nature of AVITH and its prevalence. While disability or neurodiversity is associated with a </w:t>
            </w:r>
            <w:r w:rsidRPr="00424434">
              <w:rPr>
                <w:rStyle w:val="cf11"/>
                <w:rFonts w:asciiTheme="minorHAnsi" w:eastAsiaTheme="minorEastAsia" w:hAnsiTheme="minorHAnsi" w:cstheme="minorHAnsi"/>
                <w:color w:val="003639" w:themeColor="text1"/>
                <w:sz w:val="22"/>
                <w:szCs w:val="22"/>
              </w:rPr>
              <w:t>significant proportion of young people identified by legal and clinical settings as using AVITH, nuance is required in applying this exclusion, otherwise this population may not be visible in policy and practice responses.</w:t>
            </w:r>
          </w:p>
        </w:tc>
      </w:tr>
      <w:tr w:rsidR="004144B4" w:rsidRPr="00A54CE5" w14:paraId="124E73FD" w14:textId="77777777" w:rsidTr="004144B4">
        <w:trPr>
          <w:trHeight w:val="418"/>
        </w:trPr>
        <w:tc>
          <w:tcPr>
            <w:tcW w:w="1747" w:type="dxa"/>
          </w:tcPr>
          <w:p w14:paraId="2ABE6001" w14:textId="77777777" w:rsidR="004144B4" w:rsidRDefault="004144B4" w:rsidP="00C75487">
            <w:pPr>
              <w:spacing w:before="60" w:after="60" w:line="240" w:lineRule="auto"/>
              <w:rPr>
                <w:rFonts w:eastAsia="Times New Roman"/>
                <w:b/>
                <w:bCs/>
                <w:szCs w:val="20"/>
                <w:lang w:eastAsia="en-AU" w:bidi="en-US"/>
              </w:rPr>
            </w:pPr>
            <w:r>
              <w:rPr>
                <w:rFonts w:eastAsia="Times New Roman"/>
                <w:b/>
                <w:bCs/>
                <w:szCs w:val="20"/>
                <w:lang w:eastAsia="en-AU" w:bidi="en-US"/>
              </w:rPr>
              <w:t>Behaviours</w:t>
            </w:r>
          </w:p>
        </w:tc>
        <w:tc>
          <w:tcPr>
            <w:tcW w:w="8188" w:type="dxa"/>
          </w:tcPr>
          <w:p w14:paraId="149AD0F1" w14:textId="162B84F1" w:rsidR="009F1366" w:rsidRPr="009F1366" w:rsidRDefault="004144B4" w:rsidP="00C75487">
            <w:r w:rsidRPr="006E06B0">
              <w:t>AVITH includes physical, psychological</w:t>
            </w:r>
            <w:r>
              <w:t>,</w:t>
            </w:r>
            <w:r w:rsidRPr="006E06B0">
              <w:t xml:space="preserve"> emotional</w:t>
            </w:r>
            <w:r>
              <w:t xml:space="preserve"> and economic</w:t>
            </w:r>
            <w:r w:rsidRPr="006E06B0">
              <w:t xml:space="preserve"> violence and verbal abuse.</w:t>
            </w:r>
          </w:p>
        </w:tc>
      </w:tr>
      <w:tr w:rsidR="004144B4" w:rsidRPr="00A54CE5" w14:paraId="334BC1A2" w14:textId="77777777" w:rsidTr="004144B4">
        <w:trPr>
          <w:trHeight w:val="418"/>
        </w:trPr>
        <w:tc>
          <w:tcPr>
            <w:tcW w:w="1747" w:type="dxa"/>
          </w:tcPr>
          <w:p w14:paraId="66C45A7E" w14:textId="77777777" w:rsidR="004144B4" w:rsidRDefault="004144B4" w:rsidP="00C75487">
            <w:pPr>
              <w:spacing w:before="60" w:after="60" w:line="240" w:lineRule="auto"/>
              <w:rPr>
                <w:rFonts w:eastAsia="Times New Roman"/>
                <w:b/>
                <w:bCs/>
                <w:szCs w:val="20"/>
                <w:lang w:eastAsia="en-AU" w:bidi="en-US"/>
              </w:rPr>
            </w:pPr>
            <w:r>
              <w:rPr>
                <w:rFonts w:eastAsia="Times New Roman"/>
                <w:b/>
                <w:bCs/>
                <w:szCs w:val="20"/>
                <w:lang w:eastAsia="en-AU" w:bidi="en-US"/>
              </w:rPr>
              <w:t>Prevalence</w:t>
            </w:r>
          </w:p>
          <w:p w14:paraId="15D08CB6" w14:textId="77777777" w:rsidR="004144B4" w:rsidRDefault="004144B4" w:rsidP="00C75487">
            <w:pPr>
              <w:spacing w:before="60" w:after="60" w:line="240" w:lineRule="auto"/>
              <w:rPr>
                <w:rFonts w:eastAsia="Times New Roman"/>
                <w:b/>
                <w:bCs/>
                <w:szCs w:val="20"/>
                <w:lang w:eastAsia="en-AU" w:bidi="en-US"/>
              </w:rPr>
            </w:pPr>
          </w:p>
          <w:p w14:paraId="7CB2DC09" w14:textId="77777777" w:rsidR="004144B4" w:rsidRPr="00A54CE5" w:rsidRDefault="004144B4" w:rsidP="00C75487">
            <w:pPr>
              <w:spacing w:before="60" w:after="60" w:line="240" w:lineRule="auto"/>
              <w:rPr>
                <w:rFonts w:eastAsia="Times New Roman"/>
                <w:b/>
                <w:bCs/>
                <w:szCs w:val="20"/>
                <w:lang w:eastAsia="en-AU" w:bidi="en-US"/>
              </w:rPr>
            </w:pPr>
          </w:p>
        </w:tc>
        <w:tc>
          <w:tcPr>
            <w:tcW w:w="8188" w:type="dxa"/>
          </w:tcPr>
          <w:p w14:paraId="74B02EC4" w14:textId="77777777" w:rsidR="004144B4" w:rsidRPr="007815DF" w:rsidRDefault="004144B4" w:rsidP="00C75487">
            <w:pPr>
              <w:rPr>
                <w:lang w:eastAsia="en-AU" w:bidi="en-US"/>
              </w:rPr>
            </w:pPr>
            <w:r w:rsidRPr="007815DF">
              <w:rPr>
                <w:lang w:eastAsia="en-AU" w:bidi="en-US"/>
              </w:rPr>
              <w:t>The varying definitions of AVITH make assessing the prevalence, nature and dynamics a challenge</w:t>
            </w:r>
            <w:r>
              <w:rPr>
                <w:lang w:eastAsia="en-AU" w:bidi="en-US"/>
              </w:rPr>
              <w:t>.</w:t>
            </w:r>
            <w:r w:rsidRPr="005D6C0F">
              <w:rPr>
                <w:noProof/>
                <w:vertAlign w:val="superscript"/>
                <w:lang w:eastAsia="en-AU" w:bidi="en-US"/>
              </w:rPr>
              <w:t>4</w:t>
            </w:r>
            <w:r>
              <w:rPr>
                <w:lang w:eastAsia="en-AU" w:bidi="en-US"/>
              </w:rPr>
              <w:t xml:space="preserve"> </w:t>
            </w:r>
            <w:r w:rsidRPr="007815DF">
              <w:rPr>
                <w:lang w:eastAsia="en-AU" w:bidi="en-US"/>
              </w:rPr>
              <w:t xml:space="preserve">Whist prevalence data arising from studies is </w:t>
            </w:r>
            <w:r>
              <w:rPr>
                <w:lang w:eastAsia="en-AU" w:bidi="en-US"/>
              </w:rPr>
              <w:t>outlined</w:t>
            </w:r>
            <w:r w:rsidRPr="007815DF">
              <w:rPr>
                <w:lang w:eastAsia="en-AU" w:bidi="en-US"/>
              </w:rPr>
              <w:t xml:space="preserve"> below, in un</w:t>
            </w:r>
            <w:bookmarkStart w:id="1" w:name="_Hlk123780921"/>
            <w:r w:rsidRPr="007815DF">
              <w:rPr>
                <w:lang w:eastAsia="en-AU" w:bidi="en-US"/>
              </w:rPr>
              <w:t>derstanding AVITH prevalence data, it is important to note that:</w:t>
            </w:r>
          </w:p>
          <w:p w14:paraId="25FF0BD1" w14:textId="77777777" w:rsidR="004144B4" w:rsidRPr="007815DF" w:rsidRDefault="004144B4" w:rsidP="00872031">
            <w:pPr>
              <w:pStyle w:val="ListParagraph"/>
              <w:numPr>
                <w:ilvl w:val="0"/>
                <w:numId w:val="63"/>
              </w:numPr>
              <w:rPr>
                <w:lang w:eastAsia="en-AU"/>
              </w:rPr>
            </w:pPr>
            <w:r>
              <w:rPr>
                <w:lang w:eastAsia="en-AU"/>
              </w:rPr>
              <w:t>Most</w:t>
            </w:r>
            <w:r w:rsidRPr="007815DF">
              <w:rPr>
                <w:lang w:eastAsia="en-AU"/>
              </w:rPr>
              <w:t xml:space="preserve"> AVITH-specific studies are qualitative small-scale studies which often utilise focus groups and in-depth interviews with adults</w:t>
            </w:r>
            <w:bookmarkEnd w:id="1"/>
            <w:r>
              <w:rPr>
                <w:lang w:eastAsia="en-AU"/>
              </w:rPr>
              <w:t>.</w:t>
            </w:r>
            <w:r w:rsidRPr="005D6C0F">
              <w:rPr>
                <w:noProof/>
                <w:vertAlign w:val="superscript"/>
                <w:lang w:eastAsia="en-AU"/>
              </w:rPr>
              <w:t>5-8</w:t>
            </w:r>
            <w:r>
              <w:rPr>
                <w:lang w:eastAsia="en-AU"/>
              </w:rPr>
              <w:t xml:space="preserve"> </w:t>
            </w:r>
            <w:r w:rsidRPr="007815DF">
              <w:rPr>
                <w:lang w:eastAsia="en-AU"/>
              </w:rPr>
              <w:t xml:space="preserve">Whilst these studies provide important insights into the nature and prevalence of AVITH, it is not always possible to generalise these insights beyond the specific cohort sample. </w:t>
            </w:r>
          </w:p>
          <w:p w14:paraId="44751915" w14:textId="77777777" w:rsidR="004144B4" w:rsidRPr="007815DF" w:rsidRDefault="004144B4" w:rsidP="00872031">
            <w:pPr>
              <w:pStyle w:val="ListParagraph"/>
              <w:numPr>
                <w:ilvl w:val="0"/>
                <w:numId w:val="63"/>
              </w:numPr>
              <w:rPr>
                <w:lang w:eastAsia="en-AU"/>
              </w:rPr>
            </w:pPr>
            <w:bookmarkStart w:id="2" w:name="_Hlk123781537"/>
            <w:r w:rsidRPr="007815DF">
              <w:rPr>
                <w:lang w:eastAsia="en-AU"/>
              </w:rPr>
              <w:t>The small number of broader/self-reported surveys of adolescents</w:t>
            </w:r>
            <w:r w:rsidRPr="005D6C0F">
              <w:rPr>
                <w:noProof/>
                <w:vertAlign w:val="superscript"/>
                <w:lang w:eastAsia="en-AU"/>
              </w:rPr>
              <w:t>9-11</w:t>
            </w:r>
            <w:r w:rsidRPr="007815DF">
              <w:rPr>
                <w:lang w:eastAsia="en-AU"/>
              </w:rPr>
              <w:t xml:space="preserve"> provide data which can be used in more generic ways to estimate population wide prevalence trends.</w:t>
            </w:r>
            <w:bookmarkEnd w:id="2"/>
            <w:r w:rsidR="000450A2">
              <w:rPr>
                <w:lang w:eastAsia="en-AU"/>
              </w:rPr>
              <w:t xml:space="preserve"> </w:t>
            </w:r>
            <w:r w:rsidRPr="007815DF">
              <w:rPr>
                <w:lang w:eastAsia="en-AU"/>
              </w:rPr>
              <w:t xml:space="preserve">As a result of varying definitions of AVITH, however, there are significant variations in prevalence estimates between different studies depending, in part, on the definition of AVITH used in each study.  </w:t>
            </w:r>
          </w:p>
          <w:p w14:paraId="5B501165" w14:textId="77777777" w:rsidR="004144B4" w:rsidRDefault="004144B4" w:rsidP="00872031">
            <w:pPr>
              <w:pStyle w:val="ListParagraph"/>
              <w:numPr>
                <w:ilvl w:val="0"/>
                <w:numId w:val="63"/>
              </w:numPr>
              <w:rPr>
                <w:lang w:eastAsia="en-AU"/>
              </w:rPr>
            </w:pPr>
            <w:r w:rsidRPr="007815DF">
              <w:rPr>
                <w:lang w:eastAsia="en-AU"/>
              </w:rPr>
              <w:t>Most of what is known about the extent of AVITH is based on administrative data. Variations in how jurisdictions define AVITH and the types of services/systems from which the data is drawn (e.g. legal, clinical or community based) influence the rates of AVITH found</w:t>
            </w:r>
            <w:r>
              <w:rPr>
                <w:lang w:eastAsia="en-AU"/>
              </w:rPr>
              <w:t>.</w:t>
            </w:r>
            <w:r w:rsidRPr="005D6C0F">
              <w:rPr>
                <w:noProof/>
                <w:vertAlign w:val="superscript"/>
                <w:lang w:eastAsia="en-AU"/>
              </w:rPr>
              <w:t>12</w:t>
            </w:r>
            <w:r w:rsidRPr="007815DF">
              <w:rPr>
                <w:lang w:eastAsia="en-AU"/>
              </w:rPr>
              <w:t xml:space="preserve"> </w:t>
            </w:r>
          </w:p>
          <w:p w14:paraId="29B83692" w14:textId="77777777" w:rsidR="004144B4" w:rsidRPr="00245304" w:rsidRDefault="004144B4" w:rsidP="00872031">
            <w:pPr>
              <w:pStyle w:val="ListParagraph"/>
              <w:numPr>
                <w:ilvl w:val="0"/>
                <w:numId w:val="63"/>
              </w:numPr>
              <w:rPr>
                <w:lang w:eastAsia="en-AU"/>
              </w:rPr>
            </w:pPr>
            <w:r w:rsidRPr="00245304">
              <w:rPr>
                <w:rFonts w:eastAsia="Cambria"/>
                <w:lang w:eastAsia="en-AU"/>
              </w:rPr>
              <w:t>AVITH is described in a range of studies as one of the most significantly underreported forms of family violence</w:t>
            </w:r>
            <w:r>
              <w:rPr>
                <w:rFonts w:eastAsia="Cambria"/>
                <w:lang w:eastAsia="en-AU"/>
              </w:rPr>
              <w:t>.</w:t>
            </w:r>
            <w:r w:rsidRPr="005D6C0F">
              <w:rPr>
                <w:rFonts w:eastAsia="Cambria"/>
                <w:noProof/>
                <w:vertAlign w:val="superscript"/>
                <w:lang w:eastAsia="en-AU"/>
              </w:rPr>
              <w:t>2,13</w:t>
            </w:r>
            <w:r w:rsidRPr="00245304">
              <w:rPr>
                <w:rFonts w:eastAsia="Cambria"/>
                <w:lang w:eastAsia="en-AU"/>
              </w:rPr>
              <w:t xml:space="preserve"> This not only impacts our ability to assess prevalence rates, but also contributes to a lack of community </w:t>
            </w:r>
            <w:r w:rsidRPr="00245304">
              <w:rPr>
                <w:rFonts w:eastAsia="Cambria"/>
                <w:lang w:eastAsia="en-AU"/>
              </w:rPr>
              <w:lastRenderedPageBreak/>
              <w:t>acknowledgement and understanding of the issue. This, as well as ‘parental guilt, denial, self-blame, stigma and shame, and minimisation of the abuse’ can lead AVITH to be viewed as ‘typical’ adolescent behaviour</w:t>
            </w:r>
            <w:r>
              <w:rPr>
                <w:rFonts w:eastAsia="Cambria"/>
                <w:lang w:eastAsia="en-AU"/>
              </w:rPr>
              <w:t>.</w:t>
            </w:r>
            <w:r w:rsidRPr="005D6C0F">
              <w:rPr>
                <w:rFonts w:eastAsia="Cambria"/>
                <w:noProof/>
                <w:vertAlign w:val="superscript"/>
                <w:lang w:eastAsia="en-AU"/>
              </w:rPr>
              <w:t>13</w:t>
            </w:r>
            <w:r w:rsidRPr="00245304">
              <w:rPr>
                <w:rFonts w:eastAsia="Cambria"/>
                <w:lang w:eastAsia="en-AU"/>
              </w:rPr>
              <w:t xml:space="preserve"> Despite the effect of underreporting, some international studies indicate that AVITH is a growing phenomenon</w:t>
            </w:r>
            <w:r>
              <w:rPr>
                <w:rFonts w:eastAsia="Cambria"/>
                <w:lang w:eastAsia="en-AU"/>
              </w:rPr>
              <w:t>.</w:t>
            </w:r>
            <w:r w:rsidRPr="005D6C0F">
              <w:rPr>
                <w:rFonts w:eastAsia="Cambria"/>
                <w:noProof/>
                <w:vertAlign w:val="superscript"/>
                <w:lang w:eastAsia="en-AU"/>
              </w:rPr>
              <w:t>14</w:t>
            </w:r>
          </w:p>
          <w:p w14:paraId="1B124194" w14:textId="77777777" w:rsidR="004144B4" w:rsidRDefault="004144B4" w:rsidP="00C75487">
            <w:pPr>
              <w:spacing w:before="240"/>
              <w:rPr>
                <w:lang w:eastAsia="en-AU"/>
              </w:rPr>
            </w:pPr>
            <w:r w:rsidRPr="007815DF">
              <w:rPr>
                <w:lang w:eastAsia="en-AU"/>
              </w:rPr>
              <w:t xml:space="preserve">One Australian survey of 5000 young people found </w:t>
            </w:r>
            <w:r>
              <w:rPr>
                <w:lang w:eastAsia="en-AU"/>
              </w:rPr>
              <w:t>that 20% of participants self-reported ever using violence against a family member.</w:t>
            </w:r>
            <w:r w:rsidRPr="005D6C0F">
              <w:rPr>
                <w:noProof/>
                <w:vertAlign w:val="superscript"/>
                <w:lang w:eastAsia="en-AU"/>
              </w:rPr>
              <w:t>15</w:t>
            </w:r>
            <w:r>
              <w:rPr>
                <w:lang w:eastAsia="en-AU"/>
              </w:rPr>
              <w:t xml:space="preserve"> </w:t>
            </w:r>
            <w:r w:rsidRPr="007815DF">
              <w:rPr>
                <w:lang w:eastAsia="en-AU"/>
              </w:rPr>
              <w:t xml:space="preserve">This includes frequent (at least monthly) and episodic (less than monthly) </w:t>
            </w:r>
            <w:r>
              <w:rPr>
                <w:lang w:eastAsia="en-AU"/>
              </w:rPr>
              <w:t>incidents</w:t>
            </w:r>
            <w:r w:rsidRPr="007815DF">
              <w:rPr>
                <w:lang w:eastAsia="en-AU"/>
              </w:rPr>
              <w:t xml:space="preserve"> of AVITH. </w:t>
            </w:r>
          </w:p>
          <w:p w14:paraId="1DBD3272" w14:textId="77777777" w:rsidR="009E076B" w:rsidRDefault="004144B4" w:rsidP="009E076B">
            <w:pPr>
              <w:spacing w:before="240"/>
              <w:rPr>
                <w:noProof/>
                <w:vertAlign w:val="superscript"/>
                <w:lang w:eastAsia="en-AU"/>
              </w:rPr>
            </w:pPr>
            <w:r w:rsidRPr="007815DF">
              <w:rPr>
                <w:lang w:eastAsia="en-AU"/>
              </w:rPr>
              <w:t>Another Australian study found that, of a sample of 435 university students aged 18 to 25, 1 in 7 reported that they had abused their parents in the past 12 months</w:t>
            </w:r>
            <w:bookmarkStart w:id="3" w:name="_Hlk123704187"/>
            <w:r w:rsidR="000450A2">
              <w:rPr>
                <w:lang w:eastAsia="en-AU"/>
              </w:rPr>
              <w:t>.</w:t>
            </w:r>
            <w:r w:rsidRPr="005D6C0F">
              <w:rPr>
                <w:noProof/>
                <w:vertAlign w:val="superscript"/>
                <w:lang w:eastAsia="en-AU"/>
              </w:rPr>
              <w:t>16</w:t>
            </w:r>
          </w:p>
          <w:p w14:paraId="7EB650EE" w14:textId="5E813438" w:rsidR="009F1366" w:rsidRPr="009F1366" w:rsidRDefault="004144B4" w:rsidP="009E076B">
            <w:pPr>
              <w:spacing w:before="240"/>
              <w:rPr>
                <w:lang w:eastAsia="en-AU"/>
              </w:rPr>
            </w:pPr>
            <w:r w:rsidRPr="007815DF">
              <w:rPr>
                <w:lang w:eastAsia="en-AU" w:bidi="en-US"/>
              </w:rPr>
              <w:t>Internationally, community studies indicate a prevalence rate of between 5 and 21% for physical AVITH and between 33 to 93% for psychological, verbal and emotional AVITH</w:t>
            </w:r>
            <w:r>
              <w:rPr>
                <w:lang w:eastAsia="en-AU" w:bidi="en-US"/>
              </w:rPr>
              <w:t>.</w:t>
            </w:r>
            <w:bookmarkEnd w:id="3"/>
            <w:r w:rsidRPr="005D6C0F">
              <w:rPr>
                <w:noProof/>
                <w:vertAlign w:val="superscript"/>
                <w:lang w:eastAsia="en-AU" w:bidi="en-US"/>
              </w:rPr>
              <w:t>17-20</w:t>
            </w:r>
            <w:r w:rsidR="00401003">
              <w:rPr>
                <w:noProof/>
                <w:vertAlign w:val="superscript"/>
                <w:lang w:eastAsia="en-AU" w:bidi="en-US"/>
              </w:rPr>
              <w:t xml:space="preserve"> </w:t>
            </w:r>
            <w:r w:rsidRPr="007815DF">
              <w:rPr>
                <w:lang w:eastAsia="en-AU" w:bidi="en-US"/>
              </w:rPr>
              <w:t>The large variance between these prevalence figures reflects the differences in samples and definitions of AVITH</w:t>
            </w:r>
            <w:r>
              <w:rPr>
                <w:lang w:eastAsia="en-AU" w:bidi="en-US"/>
              </w:rPr>
              <w:t>.</w:t>
            </w:r>
            <w:r w:rsidRPr="005D6C0F">
              <w:rPr>
                <w:noProof/>
                <w:vertAlign w:val="superscript"/>
                <w:lang w:eastAsia="en-AU" w:bidi="en-US"/>
              </w:rPr>
              <w:t>21</w:t>
            </w:r>
          </w:p>
        </w:tc>
      </w:tr>
      <w:tr w:rsidR="004144B4" w:rsidRPr="008B3272" w14:paraId="358AB78D" w14:textId="77777777" w:rsidTr="004144B4">
        <w:trPr>
          <w:trHeight w:val="418"/>
        </w:trPr>
        <w:tc>
          <w:tcPr>
            <w:tcW w:w="1747" w:type="dxa"/>
          </w:tcPr>
          <w:p w14:paraId="7C503166" w14:textId="77777777" w:rsidR="004144B4" w:rsidRPr="008B3272" w:rsidRDefault="004144B4" w:rsidP="00C75487">
            <w:pPr>
              <w:spacing w:before="60" w:after="60" w:line="240" w:lineRule="auto"/>
              <w:rPr>
                <w:rFonts w:eastAsia="Times New Roman"/>
                <w:b/>
                <w:bCs/>
                <w:lang w:eastAsia="en-AU" w:bidi="en-US"/>
              </w:rPr>
            </w:pPr>
            <w:r>
              <w:rPr>
                <w:b/>
                <w:bCs/>
                <w:lang w:eastAsia="en-AU"/>
              </w:rPr>
              <w:lastRenderedPageBreak/>
              <w:t>Profile of victim survivors and young people who use violence</w:t>
            </w:r>
          </w:p>
        </w:tc>
        <w:tc>
          <w:tcPr>
            <w:tcW w:w="8188" w:type="dxa"/>
          </w:tcPr>
          <w:p w14:paraId="2B84162F" w14:textId="77777777" w:rsidR="004144B4" w:rsidRPr="000B4296" w:rsidRDefault="004144B4" w:rsidP="009E076B">
            <w:pPr>
              <w:pStyle w:val="Heading5"/>
              <w:rPr>
                <w:lang w:eastAsia="en-AU" w:bidi="en-US"/>
              </w:rPr>
            </w:pPr>
            <w:r w:rsidRPr="000B4296">
              <w:rPr>
                <w:lang w:eastAsia="en-AU" w:bidi="en-US"/>
              </w:rPr>
              <w:t>Gender</w:t>
            </w:r>
          </w:p>
          <w:p w14:paraId="5A009A84" w14:textId="77777777" w:rsidR="009E076B" w:rsidRDefault="004144B4" w:rsidP="000B4296">
            <w:pPr>
              <w:rPr>
                <w:noProof/>
                <w:vertAlign w:val="superscript"/>
              </w:rPr>
            </w:pPr>
            <w:r w:rsidRPr="002506F5">
              <w:t>The literature suggests that AVITH is gendered, but not as gendered as intimate partner violence (primarily men’s perpetration against women), with about two thirds to three quarters of those using adolescent violence at home being male.</w:t>
            </w:r>
            <w:r w:rsidRPr="005D6C0F">
              <w:rPr>
                <w:noProof/>
                <w:vertAlign w:val="superscript"/>
              </w:rPr>
              <w:t>22,23</w:t>
            </w:r>
          </w:p>
          <w:p w14:paraId="542FD537" w14:textId="77777777" w:rsidR="009E076B" w:rsidRDefault="009E076B" w:rsidP="000B4296">
            <w:pPr>
              <w:rPr>
                <w:lang w:eastAsia="en-AU" w:bidi="en-US"/>
              </w:rPr>
            </w:pPr>
          </w:p>
          <w:p w14:paraId="7915F36B" w14:textId="6434AF24" w:rsidR="009F1366" w:rsidRDefault="004144B4" w:rsidP="000B4296">
            <w:pPr>
              <w:rPr>
                <w:noProof/>
                <w:vertAlign w:val="superscript"/>
              </w:rPr>
            </w:pPr>
            <w:r w:rsidRPr="002506F5">
              <w:rPr>
                <w:lang w:eastAsia="en-AU" w:bidi="en-US"/>
              </w:rPr>
              <w:t>However, an Australian prevalence study presents a contradictory picture, finding that 23% of those assigned female at birth reported using violence in the home compared to 14% of those assigned male at birth.</w:t>
            </w:r>
            <w:r w:rsidRPr="005D6C0F">
              <w:rPr>
                <w:noProof/>
                <w:vertAlign w:val="superscript"/>
                <w:lang w:eastAsia="en-AU" w:bidi="en-US"/>
              </w:rPr>
              <w:t>24</w:t>
            </w:r>
            <w:r w:rsidRPr="002506F5">
              <w:rPr>
                <w:lang w:eastAsia="en-AU" w:bidi="en-US"/>
              </w:rPr>
              <w:t xml:space="preserve"> However, it is worth noting that young women may be more likely to self-report use of any kind of violence and that young men may under-report or minimize, as suggested in the context of wider evidence regarding adolescent dating violence.</w:t>
            </w:r>
            <w:r w:rsidRPr="005D6C0F">
              <w:rPr>
                <w:noProof/>
                <w:vertAlign w:val="superscript"/>
                <w:lang w:eastAsia="en-AU" w:bidi="en-US"/>
              </w:rPr>
              <w:t>25</w:t>
            </w:r>
          </w:p>
          <w:p w14:paraId="56E282AB" w14:textId="77777777" w:rsidR="009F1366" w:rsidRDefault="009F1366" w:rsidP="000B4296">
            <w:pPr>
              <w:rPr>
                <w:lang w:eastAsia="en-AU" w:bidi="en-US"/>
              </w:rPr>
            </w:pPr>
          </w:p>
          <w:p w14:paraId="5EBE3149" w14:textId="5A284B6D" w:rsidR="004144B4" w:rsidRPr="009F1366" w:rsidRDefault="004144B4" w:rsidP="000B4296">
            <w:pPr>
              <w:rPr>
                <w:noProof/>
                <w:vertAlign w:val="superscript"/>
              </w:rPr>
            </w:pPr>
            <w:r w:rsidRPr="002506F5">
              <w:rPr>
                <w:lang w:eastAsia="en-AU" w:bidi="en-US"/>
              </w:rPr>
              <w:t xml:space="preserve">Available data on gender differences in the use of AVITH is predominately gender binary (focused on cis-gender young people), resulting in a paucity of data on trans and gender diverse adolescents. </w:t>
            </w:r>
          </w:p>
          <w:p w14:paraId="4175A512" w14:textId="77777777" w:rsidR="004144B4" w:rsidRPr="002506F5" w:rsidRDefault="004144B4" w:rsidP="00C75487">
            <w:pPr>
              <w:spacing w:before="240"/>
            </w:pPr>
            <w:r w:rsidRPr="002506F5">
              <w:rPr>
                <w:lang w:eastAsia="en-AU" w:bidi="en-US"/>
              </w:rPr>
              <w:t>International studies suggest that gender disparity in the use of AVITH may also be skewed by perceptions and social norms. For example, parents may be more inclined to call police in instances where young men are using AVITH, given the perceived risk of physical harm</w:t>
            </w:r>
            <w:r>
              <w:rPr>
                <w:lang w:eastAsia="en-AU" w:bidi="en-US"/>
              </w:rPr>
              <w:t>.</w:t>
            </w:r>
            <w:r w:rsidRPr="005D6C0F">
              <w:rPr>
                <w:noProof/>
                <w:vertAlign w:val="superscript"/>
                <w:lang w:eastAsia="en-AU" w:bidi="en-US"/>
              </w:rPr>
              <w:t>26</w:t>
            </w:r>
            <w:r w:rsidRPr="002506F5">
              <w:rPr>
                <w:lang w:eastAsia="en-AU" w:bidi="en-US"/>
              </w:rPr>
              <w:t xml:space="preserve"> Conversely, some studies have noted that social norms create more punitive views of the use of physical violence by young women, whereas young men may be considered to be behaving within gendered norms when using physical force or intimidating behaviour.</w:t>
            </w:r>
            <w:r w:rsidR="00401003" w:rsidRPr="005D6C0F">
              <w:rPr>
                <w:noProof/>
                <w:vertAlign w:val="superscript"/>
                <w:lang w:eastAsia="en-AU" w:bidi="en-US"/>
              </w:rPr>
              <w:t>12</w:t>
            </w:r>
            <w:bookmarkStart w:id="4" w:name="_Hlk123805947"/>
          </w:p>
          <w:p w14:paraId="19F6F7EA" w14:textId="77777777" w:rsidR="009E076B" w:rsidRDefault="004144B4" w:rsidP="00C75487">
            <w:pPr>
              <w:spacing w:before="240"/>
              <w:rPr>
                <w:noProof/>
                <w:vertAlign w:val="superscript"/>
                <w:lang w:eastAsia="en-AU" w:bidi="en-US"/>
              </w:rPr>
            </w:pPr>
            <w:r w:rsidRPr="002506F5">
              <w:rPr>
                <w:lang w:eastAsia="en-AU" w:bidi="en-US"/>
              </w:rPr>
              <w:t xml:space="preserve">Other studies have found differences in the forms of violence used by young people of different genders. </w:t>
            </w:r>
            <w:bookmarkStart w:id="5" w:name="_Hlk123805973"/>
            <w:bookmarkEnd w:id="4"/>
            <w:r w:rsidRPr="002506F5">
              <w:rPr>
                <w:lang w:eastAsia="en-AU" w:bidi="en-US"/>
              </w:rPr>
              <w:t xml:space="preserve">The evidence suggests that, while both males and females may use violent or abusive behaviour of some kind, young men are likely </w:t>
            </w:r>
            <w:r w:rsidRPr="002506F5">
              <w:rPr>
                <w:lang w:eastAsia="en-AU" w:bidi="en-US"/>
              </w:rPr>
              <w:lastRenderedPageBreak/>
              <w:t>to use physical forms of AVITH whilst young women are likely to use emotional and verbal forms of AVITH</w:t>
            </w:r>
            <w:r>
              <w:rPr>
                <w:lang w:eastAsia="en-AU" w:bidi="en-US"/>
              </w:rPr>
              <w:t>.</w:t>
            </w:r>
            <w:bookmarkEnd w:id="5"/>
            <w:r w:rsidRPr="005D6C0F">
              <w:rPr>
                <w:noProof/>
                <w:vertAlign w:val="superscript"/>
                <w:lang w:eastAsia="en-AU" w:bidi="en-US"/>
              </w:rPr>
              <w:t>21,27-29</w:t>
            </w:r>
            <w:bookmarkStart w:id="6" w:name="_Hlk131583353"/>
          </w:p>
          <w:p w14:paraId="19E1021A" w14:textId="1FDDC5B8" w:rsidR="004144B4" w:rsidRPr="002748EB" w:rsidRDefault="004144B4" w:rsidP="00C75487">
            <w:pPr>
              <w:spacing w:before="240"/>
              <w:rPr>
                <w:noProof/>
                <w:vertAlign w:val="superscript"/>
                <w:lang w:eastAsia="en-AU" w:bidi="en-US"/>
              </w:rPr>
            </w:pPr>
            <w:r w:rsidRPr="002506F5">
              <w:rPr>
                <w:lang w:eastAsia="en-AU" w:bidi="en-US"/>
              </w:rPr>
              <w:t>Limitations of justice system data may result in the over-representation of marginalised communities that experience systemic discrimination and over-policing, so data from broader sources is required. </w:t>
            </w:r>
          </w:p>
          <w:bookmarkEnd w:id="6"/>
          <w:p w14:paraId="681A6580" w14:textId="4F1563C6" w:rsidR="004144B4" w:rsidRPr="002506F5" w:rsidRDefault="004144B4" w:rsidP="00C75487">
            <w:pPr>
              <w:spacing w:before="240"/>
            </w:pPr>
            <w:r w:rsidRPr="002506F5">
              <w:t>Significant evidence points to the ways in which perpetrators of adult intimate partner violence deliberately undermine relationships between mothers and children including post separation</w:t>
            </w:r>
            <w:r>
              <w:t>.</w:t>
            </w:r>
            <w:r w:rsidRPr="005D6C0F">
              <w:rPr>
                <w:noProof/>
                <w:vertAlign w:val="superscript"/>
              </w:rPr>
              <w:t>30,31</w:t>
            </w:r>
            <w:r w:rsidRPr="002506F5">
              <w:t xml:space="preserve"> Examples of this involve systems abuse through the family law and child protection processes; using children directly as a vehicle for inflicting further abuse by ‘coaching’ them in abuse tactics; or otherwise using shared parental responsibility and an ongoing presence in the children’s lives to undermine the mother-child bond or their child’s access to services</w:t>
            </w:r>
            <w:r>
              <w:t>.</w:t>
            </w:r>
            <w:r w:rsidRPr="005D6C0F">
              <w:rPr>
                <w:noProof/>
                <w:vertAlign w:val="superscript"/>
              </w:rPr>
              <w:t>12,32</w:t>
            </w:r>
            <w:r w:rsidRPr="002506F5">
              <w:t xml:space="preserve"> Coupled with the reality that mothers are the most likely to be providing care and interacting with the adolescent on a daily basis, it is not surprising, then, that multiple studies indicate that mothers who are sole parents are the biggest cohort to experience AVITH</w:t>
            </w:r>
            <w:r>
              <w:t>.</w:t>
            </w:r>
            <w:r w:rsidRPr="005D6C0F">
              <w:rPr>
                <w:noProof/>
                <w:vertAlign w:val="superscript"/>
              </w:rPr>
              <w:t>2,33,34</w:t>
            </w:r>
            <w:r w:rsidRPr="002506F5">
              <w:t xml:space="preserve"> Where adolescents use coercive and controlling </w:t>
            </w:r>
            <w:r w:rsidR="002748EB" w:rsidRPr="002506F5">
              <w:t>behaviours</w:t>
            </w:r>
            <w:r w:rsidRPr="002506F5">
              <w:t xml:space="preserve"> it may be a result of finding ways to feel in control of their environment in the context of wider distress or feelings of powerlessness. Research also strongly indicates that it is often the result of mirroring abuse they have witnessed by male adult caregivers against female adult caregivers</w:t>
            </w:r>
            <w:r>
              <w:t>.</w:t>
            </w:r>
            <w:r w:rsidRPr="005D6C0F">
              <w:rPr>
                <w:noProof/>
                <w:vertAlign w:val="superscript"/>
              </w:rPr>
              <w:t>12,35</w:t>
            </w:r>
            <w:r w:rsidRPr="002506F5">
              <w:t xml:space="preserve"> This behaviour in adolescents may be an indication of current or previous abuse directed at their mothers, with direct and indirect harm experienced by adolescents</w:t>
            </w:r>
            <w:r>
              <w:t>.</w:t>
            </w:r>
            <w:r w:rsidRPr="005D6C0F">
              <w:rPr>
                <w:noProof/>
                <w:vertAlign w:val="superscript"/>
              </w:rPr>
              <w:t>36,37</w:t>
            </w:r>
            <w:r w:rsidRPr="002506F5">
              <w:t xml:space="preserve"> In turn this points to a connection between </w:t>
            </w:r>
            <w:r w:rsidRPr="002506F5">
              <w:rPr>
                <w:color w:val="003639" w:themeColor="text1"/>
              </w:rPr>
              <w:t>prior intimate partner violence perpetrated by fathers, parental separation and the use of AVITH –</w:t>
            </w:r>
            <w:r w:rsidRPr="002506F5">
              <w:t xml:space="preserve"> and therefore a need for appropriate support for multiple family members</w:t>
            </w:r>
            <w:r>
              <w:t>.</w:t>
            </w:r>
            <w:r w:rsidRPr="005D6C0F">
              <w:rPr>
                <w:noProof/>
                <w:vertAlign w:val="superscript"/>
              </w:rPr>
              <w:t>32</w:t>
            </w:r>
          </w:p>
          <w:p w14:paraId="57B4D955" w14:textId="77777777" w:rsidR="004144B4" w:rsidRPr="006E06B0" w:rsidRDefault="004144B4" w:rsidP="00C75487">
            <w:pPr>
              <w:rPr>
                <w:sz w:val="20"/>
              </w:rPr>
            </w:pPr>
          </w:p>
          <w:p w14:paraId="5002790E" w14:textId="77777777" w:rsidR="004144B4" w:rsidRPr="00E3168F" w:rsidRDefault="004144B4" w:rsidP="009E076B">
            <w:pPr>
              <w:pStyle w:val="Heading5"/>
              <w:rPr>
                <w:lang w:eastAsia="en-AU" w:bidi="en-US"/>
              </w:rPr>
            </w:pPr>
            <w:r w:rsidRPr="00E3168F">
              <w:rPr>
                <w:lang w:eastAsia="en-AU" w:bidi="en-US"/>
              </w:rPr>
              <w:t>Family context</w:t>
            </w:r>
          </w:p>
          <w:p w14:paraId="09EAEC80" w14:textId="4C5C6347" w:rsidR="004144B4" w:rsidRPr="007815DF" w:rsidRDefault="004144B4" w:rsidP="00C75487">
            <w:pPr>
              <w:rPr>
                <w:u w:val="single"/>
                <w:lang w:eastAsia="en-AU" w:bidi="en-US"/>
              </w:rPr>
            </w:pPr>
            <w:r w:rsidRPr="007815DF">
              <w:rPr>
                <w:lang w:eastAsia="en-AU" w:bidi="en-US"/>
              </w:rPr>
              <w:t xml:space="preserve">Although there is a focus in the literature on child to parent violence, some studies indicate that violence </w:t>
            </w:r>
            <w:r>
              <w:rPr>
                <w:lang w:eastAsia="en-AU" w:bidi="en-US"/>
              </w:rPr>
              <w:t>used</w:t>
            </w:r>
            <w:r w:rsidRPr="007815DF">
              <w:rPr>
                <w:lang w:eastAsia="en-AU" w:bidi="en-US"/>
              </w:rPr>
              <w:t xml:space="preserve"> against siblings is the most common form of intrafamilial abuse</w:t>
            </w:r>
            <w:r>
              <w:rPr>
                <w:lang w:eastAsia="en-AU" w:bidi="en-US"/>
              </w:rPr>
              <w:t>.</w:t>
            </w:r>
            <w:r w:rsidRPr="005D6C0F">
              <w:rPr>
                <w:noProof/>
                <w:vertAlign w:val="superscript"/>
                <w:lang w:eastAsia="en-AU" w:bidi="en-US"/>
              </w:rPr>
              <w:t>38</w:t>
            </w:r>
            <w:r>
              <w:rPr>
                <w:lang w:eastAsia="en-AU" w:bidi="en-US"/>
              </w:rPr>
              <w:t xml:space="preserve"> </w:t>
            </w:r>
            <w:r w:rsidRPr="007815DF">
              <w:rPr>
                <w:lang w:eastAsia="en-AU" w:bidi="en-US"/>
              </w:rPr>
              <w:t>However, it is acknowledged that grandparents</w:t>
            </w:r>
            <w:r>
              <w:rPr>
                <w:lang w:eastAsia="en-AU" w:bidi="en-US"/>
              </w:rPr>
              <w:t>,</w:t>
            </w:r>
            <w:r w:rsidRPr="005D6C0F">
              <w:rPr>
                <w:noProof/>
                <w:vertAlign w:val="superscript"/>
                <w:lang w:eastAsia="en-AU" w:bidi="en-US"/>
              </w:rPr>
              <w:t>39</w:t>
            </w:r>
            <w:r w:rsidRPr="007815DF">
              <w:rPr>
                <w:lang w:eastAsia="en-AU" w:bidi="en-US"/>
              </w:rPr>
              <w:t xml:space="preserve"> kinship carers</w:t>
            </w:r>
            <w:r>
              <w:rPr>
                <w:lang w:eastAsia="en-AU" w:bidi="en-US"/>
              </w:rPr>
              <w:t>,</w:t>
            </w:r>
            <w:r w:rsidRPr="005D6C0F">
              <w:rPr>
                <w:noProof/>
                <w:vertAlign w:val="superscript"/>
                <w:lang w:eastAsia="en-AU" w:bidi="en-US"/>
              </w:rPr>
              <w:t>40</w:t>
            </w:r>
            <w:r w:rsidRPr="007815DF">
              <w:rPr>
                <w:lang w:eastAsia="en-AU" w:bidi="en-US"/>
              </w:rPr>
              <w:t xml:space="preserve"> and adoptive parents</w:t>
            </w:r>
            <w:r>
              <w:rPr>
                <w:lang w:eastAsia="en-AU" w:bidi="en-US"/>
              </w:rPr>
              <w:t>,</w:t>
            </w:r>
            <w:r w:rsidRPr="005D6C0F">
              <w:rPr>
                <w:noProof/>
                <w:vertAlign w:val="superscript"/>
                <w:lang w:eastAsia="en-AU" w:bidi="en-US"/>
              </w:rPr>
              <w:t>41</w:t>
            </w:r>
            <w:r w:rsidRPr="007815DF">
              <w:rPr>
                <w:lang w:eastAsia="en-AU" w:bidi="en-US"/>
              </w:rPr>
              <w:t xml:space="preserve"> can also be victims of AVITH.</w:t>
            </w:r>
          </w:p>
          <w:p w14:paraId="147F98E2" w14:textId="77777777" w:rsidR="004144B4" w:rsidRDefault="004144B4" w:rsidP="00C75487">
            <w:pPr>
              <w:rPr>
                <w:b/>
                <w:bCs/>
                <w:lang w:eastAsia="en-AU" w:bidi="en-US"/>
              </w:rPr>
            </w:pPr>
          </w:p>
          <w:p w14:paraId="7E18DA48" w14:textId="77777777" w:rsidR="004144B4" w:rsidRPr="000B4296" w:rsidRDefault="004144B4" w:rsidP="009E076B">
            <w:pPr>
              <w:pStyle w:val="Heading5"/>
              <w:rPr>
                <w:lang w:eastAsia="en-AU" w:bidi="en-US"/>
              </w:rPr>
            </w:pPr>
            <w:r w:rsidRPr="000B4296">
              <w:rPr>
                <w:lang w:eastAsia="en-AU" w:bidi="en-US"/>
              </w:rPr>
              <w:t>Age</w:t>
            </w:r>
          </w:p>
          <w:p w14:paraId="1A7B079A" w14:textId="206B0D4E" w:rsidR="004144B4" w:rsidRDefault="004144B4" w:rsidP="00C75487">
            <w:pPr>
              <w:rPr>
                <w:lang w:eastAsia="en-AU" w:bidi="en-US"/>
              </w:rPr>
            </w:pPr>
            <w:bookmarkStart w:id="7" w:name="_Hlk123817657"/>
            <w:r w:rsidRPr="007815DF">
              <w:rPr>
                <w:lang w:eastAsia="en-AU" w:bidi="en-US"/>
              </w:rPr>
              <w:t>Despite the scarcity of evidence, there are some indications that most young people who perpetrate violence are in the 14-17 years age range</w:t>
            </w:r>
            <w:r w:rsidRPr="005D6C0F">
              <w:rPr>
                <w:noProof/>
                <w:vertAlign w:val="superscript"/>
                <w:lang w:eastAsia="en-AU" w:bidi="en-US"/>
              </w:rPr>
              <w:t>11,42,43</w:t>
            </w:r>
            <w:r w:rsidRPr="007815DF">
              <w:rPr>
                <w:lang w:eastAsia="en-AU" w:bidi="en-US"/>
              </w:rPr>
              <w:t xml:space="preserve"> </w:t>
            </w:r>
            <w:bookmarkStart w:id="8" w:name="_Hlk123817824"/>
            <w:bookmarkEnd w:id="7"/>
            <w:r w:rsidRPr="007815DF">
              <w:rPr>
                <w:lang w:eastAsia="en-AU" w:bidi="en-US"/>
              </w:rPr>
              <w:t>and the average age of parents who experience AVITH is between 41 and 50 years of age</w:t>
            </w:r>
            <w:bookmarkEnd w:id="8"/>
            <w:r w:rsidRPr="007815DF">
              <w:rPr>
                <w:lang w:eastAsia="en-AU" w:bidi="en-US"/>
              </w:rPr>
              <w:t xml:space="preserve">. The increasingly young age of children being identified in legal systems as using AVITH has also been recognised in the </w:t>
            </w:r>
            <w:r>
              <w:rPr>
                <w:lang w:eastAsia="en-AU" w:bidi="en-US"/>
              </w:rPr>
              <w:t>literature.</w:t>
            </w:r>
            <w:r w:rsidRPr="005D6C0F">
              <w:rPr>
                <w:noProof/>
                <w:vertAlign w:val="superscript"/>
                <w:lang w:eastAsia="en-AU" w:bidi="en-US"/>
              </w:rPr>
              <w:t>12</w:t>
            </w:r>
          </w:p>
          <w:p w14:paraId="7CDF53C4" w14:textId="77777777" w:rsidR="004144B4" w:rsidRPr="007815DF" w:rsidRDefault="004144B4" w:rsidP="00C75487">
            <w:pPr>
              <w:rPr>
                <w:lang w:eastAsia="en-AU" w:bidi="en-US"/>
              </w:rPr>
            </w:pPr>
          </w:p>
          <w:p w14:paraId="1E9D8895" w14:textId="77777777" w:rsidR="004144B4" w:rsidRPr="000B4296" w:rsidRDefault="004144B4" w:rsidP="009E076B">
            <w:pPr>
              <w:pStyle w:val="Heading5"/>
              <w:rPr>
                <w:lang w:eastAsia="en-AU" w:bidi="en-US"/>
              </w:rPr>
            </w:pPr>
            <w:r w:rsidRPr="000B4296">
              <w:rPr>
                <w:lang w:eastAsia="en-AU" w:bidi="en-US"/>
              </w:rPr>
              <w:t>Disability</w:t>
            </w:r>
          </w:p>
          <w:p w14:paraId="6FBE2B65" w14:textId="77777777" w:rsidR="002748EB" w:rsidRDefault="004144B4" w:rsidP="002748EB">
            <w:pPr>
              <w:rPr>
                <w:noProof/>
                <w:vertAlign w:val="superscript"/>
              </w:rPr>
            </w:pPr>
            <w:r w:rsidRPr="007815DF">
              <w:t>The prevalence of disability as a co-occurring factor in young people identified by legal and service systems as using AVITH has been highlighted across the evidence base</w:t>
            </w:r>
            <w:r>
              <w:t>.</w:t>
            </w:r>
            <w:r w:rsidRPr="005D6C0F">
              <w:rPr>
                <w:noProof/>
                <w:vertAlign w:val="superscript"/>
              </w:rPr>
              <w:t>1,2,44</w:t>
            </w:r>
            <w:r>
              <w:t xml:space="preserve"> </w:t>
            </w:r>
            <w:r w:rsidRPr="007815DF">
              <w:t xml:space="preserve">An important conceptual review, however, recently identified a profound lack of literature concerning the direct nexus between disability and use </w:t>
            </w:r>
            <w:r w:rsidRPr="007815DF">
              <w:lastRenderedPageBreak/>
              <w:t>of violence at home by young people and queried the deficit-based approach to approaches to disability in this context</w:t>
            </w:r>
            <w:r>
              <w:t>.</w:t>
            </w:r>
            <w:r w:rsidRPr="005D6C0F">
              <w:rPr>
                <w:noProof/>
                <w:vertAlign w:val="superscript"/>
              </w:rPr>
              <w:t>45</w:t>
            </w:r>
            <w:r>
              <w:t xml:space="preserve"> </w:t>
            </w:r>
            <w:r w:rsidRPr="007815DF">
              <w:t>Links between AVITH and developmental issues, such as impulsiveness, have also been identified</w:t>
            </w:r>
            <w:r>
              <w:t>.</w:t>
            </w:r>
            <w:r w:rsidRPr="005D6C0F">
              <w:rPr>
                <w:noProof/>
                <w:vertAlign w:val="superscript"/>
              </w:rPr>
              <w:t>46</w:t>
            </w:r>
          </w:p>
          <w:p w14:paraId="32984FE7" w14:textId="77777777" w:rsidR="009E076B" w:rsidRDefault="004144B4" w:rsidP="00C75487">
            <w:pPr>
              <w:rPr>
                <w:noProof/>
                <w:vertAlign w:val="superscript"/>
              </w:rPr>
            </w:pPr>
            <w:r w:rsidRPr="007815DF">
              <w:t>People with disabilit</w:t>
            </w:r>
            <w:r>
              <w:t>y</w:t>
            </w:r>
            <w:r w:rsidRPr="007815DF">
              <w:t xml:space="preserve"> –</w:t>
            </w:r>
            <w:r w:rsidR="00D7344F">
              <w:t xml:space="preserve"> </w:t>
            </w:r>
            <w:r w:rsidRPr="007815DF">
              <w:t>particularly women and children – are also disproportionately affected by interpersonal violence</w:t>
            </w:r>
            <w:r w:rsidRPr="005D6C0F">
              <w:rPr>
                <w:noProof/>
                <w:vertAlign w:val="superscript"/>
              </w:rPr>
              <w:t>47</w:t>
            </w:r>
            <w:r>
              <w:t xml:space="preserve"> and </w:t>
            </w:r>
            <w:r w:rsidRPr="007815DF">
              <w:t>are over-represented in youth and other justice systems</w:t>
            </w:r>
            <w:r>
              <w:t>.</w:t>
            </w:r>
            <w:r w:rsidRPr="005D6C0F">
              <w:rPr>
                <w:noProof/>
                <w:vertAlign w:val="superscript"/>
              </w:rPr>
              <w:t>48</w:t>
            </w:r>
            <w:bookmarkStart w:id="9" w:name="_Hlk134103997"/>
          </w:p>
          <w:p w14:paraId="1FFBD431" w14:textId="77777777" w:rsidR="009E076B" w:rsidRDefault="009E076B" w:rsidP="00C75487"/>
          <w:p w14:paraId="59693E5F" w14:textId="183E1016" w:rsidR="009F1366" w:rsidRPr="009E076B" w:rsidRDefault="004144B4" w:rsidP="00C75487">
            <w:pPr>
              <w:rPr>
                <w:noProof/>
                <w:vertAlign w:val="superscript"/>
              </w:rPr>
            </w:pPr>
            <w:r>
              <w:t xml:space="preserve">Broadly speaking, there is a lack of knowledge and understanding within service provision contexts about impacts of neurodiversity, particular disabilities and developmental disorders. This can result in parents </w:t>
            </w:r>
            <w:r w:rsidR="00D7344F">
              <w:t>–</w:t>
            </w:r>
            <w:r>
              <w:t xml:space="preserve"> particularly mothers who are more likely to be caring for children </w:t>
            </w:r>
            <w:r w:rsidR="00D7344F">
              <w:t>–</w:t>
            </w:r>
            <w:r>
              <w:t xml:space="preserve"> experiencing inappropriate, ineffective and potentially harmful service system responses regarding their children’s behaviour.  Such responses can exacerbate distress experienced by children and parents and potentially contribute to violence occurring, rather than support families through appropriate interventions.</w:t>
            </w:r>
            <w:bookmarkEnd w:id="9"/>
          </w:p>
        </w:tc>
      </w:tr>
      <w:tr w:rsidR="004144B4" w:rsidRPr="00A54CE5" w14:paraId="7914E83C" w14:textId="77777777" w:rsidTr="004144B4">
        <w:trPr>
          <w:trHeight w:val="418"/>
        </w:trPr>
        <w:tc>
          <w:tcPr>
            <w:tcW w:w="1747" w:type="dxa"/>
          </w:tcPr>
          <w:p w14:paraId="25B06B6C" w14:textId="77777777" w:rsidR="004144B4" w:rsidRPr="00A54CE5" w:rsidDel="00411DDA" w:rsidRDefault="004144B4" w:rsidP="00C75487">
            <w:pPr>
              <w:spacing w:before="60" w:after="60" w:line="240" w:lineRule="auto"/>
              <w:rPr>
                <w:rFonts w:eastAsia="Times New Roman"/>
                <w:b/>
                <w:bCs/>
                <w:szCs w:val="20"/>
                <w:lang w:eastAsia="en-AU" w:bidi="en-US"/>
              </w:rPr>
            </w:pPr>
            <w:r>
              <w:rPr>
                <w:rFonts w:eastAsia="Times New Roman"/>
                <w:b/>
                <w:bCs/>
                <w:szCs w:val="20"/>
                <w:lang w:eastAsia="en-AU" w:bidi="en-US"/>
              </w:rPr>
              <w:lastRenderedPageBreak/>
              <w:t>Researchers’ indication of drivers and reinforcing factors associated with violence</w:t>
            </w:r>
          </w:p>
        </w:tc>
        <w:tc>
          <w:tcPr>
            <w:tcW w:w="8188" w:type="dxa"/>
          </w:tcPr>
          <w:p w14:paraId="7C15E7D8" w14:textId="37410024" w:rsidR="004144B4" w:rsidRPr="00750E07" w:rsidRDefault="004144B4" w:rsidP="00C75487">
            <w:pPr>
              <w:rPr>
                <w:lang w:eastAsia="en-AU" w:bidi="en-US"/>
              </w:rPr>
            </w:pPr>
            <w:r w:rsidRPr="006E06B0">
              <w:rPr>
                <w:lang w:eastAsia="en-AU" w:bidi="en-US"/>
              </w:rPr>
              <w:t xml:space="preserve">While the literature does not use the language of </w:t>
            </w:r>
            <w:r>
              <w:rPr>
                <w:lang w:eastAsia="en-AU" w:bidi="en-US"/>
              </w:rPr>
              <w:t>‘</w:t>
            </w:r>
            <w:r w:rsidRPr="006E06B0">
              <w:rPr>
                <w:lang w:eastAsia="en-AU" w:bidi="en-US"/>
              </w:rPr>
              <w:t>drivers</w:t>
            </w:r>
            <w:r>
              <w:rPr>
                <w:lang w:eastAsia="en-AU" w:bidi="en-US"/>
              </w:rPr>
              <w:t>’</w:t>
            </w:r>
            <w:r w:rsidRPr="006E06B0">
              <w:rPr>
                <w:lang w:eastAsia="en-AU" w:bidi="en-US"/>
              </w:rPr>
              <w:t xml:space="preserve"> and </w:t>
            </w:r>
            <w:r>
              <w:rPr>
                <w:lang w:eastAsia="en-AU" w:bidi="en-US"/>
              </w:rPr>
              <w:t>‘</w:t>
            </w:r>
            <w:r w:rsidRPr="006E06B0">
              <w:rPr>
                <w:lang w:eastAsia="en-AU" w:bidi="en-US"/>
              </w:rPr>
              <w:t>reinforcing factors</w:t>
            </w:r>
            <w:r>
              <w:rPr>
                <w:lang w:eastAsia="en-AU" w:bidi="en-US"/>
              </w:rPr>
              <w:t>’ (and refers instead to ‘risk factors’ and ‘reinforcing factors’),</w:t>
            </w:r>
            <w:r w:rsidRPr="006E06B0">
              <w:rPr>
                <w:lang w:eastAsia="en-AU" w:bidi="en-US"/>
              </w:rPr>
              <w:t xml:space="preserve"> the evidence points to a constellation of key </w:t>
            </w:r>
            <w:r>
              <w:rPr>
                <w:lang w:eastAsia="en-AU" w:bidi="en-US"/>
              </w:rPr>
              <w:t>f</w:t>
            </w:r>
            <w:r w:rsidRPr="00FE5203">
              <w:rPr>
                <w:lang w:eastAsia="en-AU" w:bidi="en-US"/>
              </w:rPr>
              <w:t>actors</w:t>
            </w:r>
            <w:r w:rsidRPr="006E06B0">
              <w:rPr>
                <w:lang w:eastAsia="en-AU" w:bidi="en-US"/>
              </w:rPr>
              <w:t xml:space="preserve"> that appear to be associated with AVITH</w:t>
            </w:r>
            <w:r>
              <w:rPr>
                <w:lang w:eastAsia="en-AU" w:bidi="en-US"/>
              </w:rPr>
              <w:t xml:space="preserve">. </w:t>
            </w:r>
            <w:r w:rsidRPr="00750E07">
              <w:rPr>
                <w:lang w:eastAsia="en-AU" w:bidi="en-US"/>
              </w:rPr>
              <w:t>Prior experience of adult perpetrated violence</w:t>
            </w:r>
            <w:r>
              <w:rPr>
                <w:rStyle w:val="FootnoteReference"/>
                <w:rFonts w:eastAsia="Times New Roman"/>
                <w:color w:val="auto"/>
                <w:sz w:val="20"/>
                <w:szCs w:val="20"/>
                <w:lang w:eastAsia="en-AU" w:bidi="en-US"/>
              </w:rPr>
              <w:footnoteReference w:id="1"/>
            </w:r>
            <w:r w:rsidRPr="00750E07">
              <w:rPr>
                <w:lang w:eastAsia="en-AU" w:bidi="en-US"/>
              </w:rPr>
              <w:t xml:space="preserve"> both indirectly and directly, </w:t>
            </w:r>
            <w:r>
              <w:rPr>
                <w:lang w:eastAsia="en-AU" w:bidi="en-US"/>
              </w:rPr>
              <w:t>i</w:t>
            </w:r>
            <w:r w:rsidRPr="00750E07">
              <w:rPr>
                <w:lang w:eastAsia="en-AU" w:bidi="en-US"/>
              </w:rPr>
              <w:t xml:space="preserve">s arguably the most significant factor </w:t>
            </w:r>
            <w:r>
              <w:rPr>
                <w:lang w:eastAsia="en-AU" w:bidi="en-US"/>
              </w:rPr>
              <w:t>associated with</w:t>
            </w:r>
            <w:r w:rsidRPr="00750E07">
              <w:rPr>
                <w:lang w:eastAsia="en-AU" w:bidi="en-US"/>
              </w:rPr>
              <w:t xml:space="preserve"> a young person’s use of AVITH</w:t>
            </w:r>
            <w:r>
              <w:rPr>
                <w:lang w:eastAsia="en-AU" w:bidi="en-US"/>
              </w:rPr>
              <w:t>.</w:t>
            </w:r>
            <w:r w:rsidRPr="005D6C0F">
              <w:rPr>
                <w:noProof/>
                <w:vertAlign w:val="superscript"/>
                <w:lang w:eastAsia="en-AU" w:bidi="en-US"/>
              </w:rPr>
              <w:t>12,27,28,32,49-53</w:t>
            </w:r>
            <w:r>
              <w:rPr>
                <w:lang w:eastAsia="en-AU" w:bidi="en-US"/>
              </w:rPr>
              <w:t xml:space="preserve"> </w:t>
            </w:r>
            <w:r w:rsidRPr="00750E07">
              <w:rPr>
                <w:lang w:eastAsia="en-AU" w:bidi="en-US"/>
              </w:rPr>
              <w:t xml:space="preserve">This suggests that, by preventing adult perpetrated violence, some AVITH may also be prevented. Further, by responding effectively to adult perpetrated harm and supporting women and children to recover, the trajectory into AVITH may be stemmed and additional prevention efforts realised. Finally, by providing appropriate support for families experiencing issues of diverse or additional needs, prevention efforts can be additionally bolstered. </w:t>
            </w:r>
          </w:p>
          <w:p w14:paraId="6F6C52F6" w14:textId="77777777" w:rsidR="004144B4" w:rsidRPr="007815DF" w:rsidRDefault="004144B4" w:rsidP="00C75487">
            <w:pPr>
              <w:spacing w:line="240" w:lineRule="auto"/>
              <w:ind w:left="371"/>
              <w:rPr>
                <w:rFonts w:eastAsia="Times New Roman"/>
                <w:color w:val="auto"/>
                <w:szCs w:val="20"/>
                <w:lang w:eastAsia="en-AU" w:bidi="en-US"/>
              </w:rPr>
            </w:pPr>
          </w:p>
          <w:p w14:paraId="29B78D32" w14:textId="77777777" w:rsidR="004144B4" w:rsidRPr="00A11778" w:rsidRDefault="004144B4" w:rsidP="00C75487">
            <w:pPr>
              <w:tabs>
                <w:tab w:val="left" w:pos="851"/>
              </w:tabs>
              <w:autoSpaceDE w:val="0"/>
              <w:autoSpaceDN w:val="0"/>
              <w:adjustRightInd w:val="0"/>
              <w:ind w:left="11" w:hanging="11"/>
              <w:jc w:val="both"/>
              <w:rPr>
                <w:rFonts w:eastAsia="Times New Roman"/>
                <w:color w:val="003639" w:themeColor="text1"/>
                <w:szCs w:val="20"/>
                <w:lang w:eastAsia="en-AU" w:bidi="en-US"/>
              </w:rPr>
            </w:pPr>
            <w:r w:rsidRPr="00A11778">
              <w:rPr>
                <w:rFonts w:eastAsia="Times New Roman"/>
                <w:color w:val="003639" w:themeColor="text1"/>
                <w:szCs w:val="20"/>
                <w:lang w:eastAsia="en-AU" w:bidi="en-US"/>
              </w:rPr>
              <w:t>Other factors associated with AVITH include:</w:t>
            </w:r>
          </w:p>
          <w:p w14:paraId="01B08B50" w14:textId="77777777" w:rsidR="004144B4" w:rsidRPr="00A11778" w:rsidRDefault="004144B4" w:rsidP="00872031">
            <w:pPr>
              <w:numPr>
                <w:ilvl w:val="0"/>
                <w:numId w:val="65"/>
              </w:numPr>
              <w:suppressAutoHyphens/>
              <w:rPr>
                <w:rFonts w:eastAsia="Times New Roman"/>
                <w:color w:val="003639" w:themeColor="text1"/>
                <w:szCs w:val="20"/>
                <w:lang w:eastAsia="en-AU" w:bidi="en-US"/>
              </w:rPr>
            </w:pPr>
            <w:r w:rsidRPr="00A11778">
              <w:rPr>
                <w:rFonts w:eastAsia="Times New Roman"/>
                <w:color w:val="003639" w:themeColor="text1"/>
                <w:szCs w:val="20"/>
                <w:lang w:eastAsia="en-AU" w:bidi="en-US"/>
              </w:rPr>
              <w:t>Adverse childhood experiences impacting on the young person.</w:t>
            </w:r>
          </w:p>
          <w:p w14:paraId="6CDD2EDD" w14:textId="77777777" w:rsidR="004144B4" w:rsidRPr="00A11778" w:rsidRDefault="004144B4" w:rsidP="00872031">
            <w:pPr>
              <w:numPr>
                <w:ilvl w:val="0"/>
                <w:numId w:val="65"/>
              </w:numPr>
              <w:suppressAutoHyphens/>
              <w:rPr>
                <w:rFonts w:eastAsia="Times New Roman"/>
                <w:color w:val="003639" w:themeColor="text1"/>
                <w:szCs w:val="20"/>
                <w:lang w:eastAsia="en-AU" w:bidi="en-US"/>
              </w:rPr>
            </w:pPr>
            <w:r w:rsidRPr="00A11778">
              <w:rPr>
                <w:rFonts w:eastAsia="Times New Roman"/>
                <w:color w:val="003639" w:themeColor="text1"/>
                <w:szCs w:val="20"/>
                <w:lang w:eastAsia="en-AU" w:bidi="en-US"/>
              </w:rPr>
              <w:t xml:space="preserve">In the complex and nuanced context of use of violence in home by young people with disability, a lack of service support for them and their families, as well as a lack of integrated systems response. </w:t>
            </w:r>
          </w:p>
          <w:p w14:paraId="7C5BB3F8" w14:textId="77777777" w:rsidR="004144B4" w:rsidRPr="00A11778" w:rsidRDefault="004144B4" w:rsidP="00872031">
            <w:pPr>
              <w:numPr>
                <w:ilvl w:val="0"/>
                <w:numId w:val="65"/>
              </w:numPr>
              <w:suppressAutoHyphens/>
              <w:rPr>
                <w:rFonts w:eastAsia="Times New Roman"/>
                <w:color w:val="003639" w:themeColor="text1"/>
                <w:szCs w:val="20"/>
                <w:lang w:eastAsia="en-AU" w:bidi="en-US"/>
              </w:rPr>
            </w:pPr>
            <w:r w:rsidRPr="00A11778">
              <w:rPr>
                <w:rFonts w:eastAsia="Times New Roman"/>
                <w:color w:val="003639" w:themeColor="text1"/>
                <w:szCs w:val="20"/>
                <w:lang w:eastAsia="en-AU" w:bidi="en-US"/>
              </w:rPr>
              <w:t>The young person’s substance misuse, social exclusion, bullying and mental health issues, issues which themselves may be associated with experiences of trauma.</w:t>
            </w:r>
          </w:p>
          <w:p w14:paraId="50249FD7" w14:textId="6D724E54" w:rsidR="000B4296" w:rsidRPr="009F1366" w:rsidRDefault="004144B4" w:rsidP="000B4296">
            <w:pPr>
              <w:pStyle w:val="ListParagraph"/>
              <w:numPr>
                <w:ilvl w:val="0"/>
                <w:numId w:val="65"/>
              </w:numPr>
              <w:suppressAutoHyphens/>
              <w:rPr>
                <w:color w:val="003639" w:themeColor="text1"/>
                <w:szCs w:val="20"/>
                <w:lang w:eastAsia="en-AU"/>
              </w:rPr>
            </w:pPr>
            <w:r w:rsidRPr="00A11778">
              <w:rPr>
                <w:color w:val="003639" w:themeColor="text1"/>
                <w:szCs w:val="20"/>
                <w:lang w:eastAsia="en-AU"/>
              </w:rPr>
              <w:t>Poor quality family relationships, including as a result of familial trauma, such as migration trauma and grief.</w:t>
            </w:r>
          </w:p>
          <w:p w14:paraId="4B9295DF" w14:textId="77777777" w:rsidR="009F1366" w:rsidRDefault="009F1366" w:rsidP="00C75487">
            <w:pPr>
              <w:ind w:left="11"/>
              <w:rPr>
                <w:rFonts w:eastAsia="Times New Roman"/>
                <w:color w:val="003639" w:themeColor="text1"/>
                <w:szCs w:val="20"/>
                <w:lang w:eastAsia="en-AU" w:bidi="en-US"/>
              </w:rPr>
            </w:pPr>
          </w:p>
          <w:p w14:paraId="2814EE59" w14:textId="5E9D1745" w:rsidR="004144B4" w:rsidRPr="00A11778" w:rsidRDefault="004144B4" w:rsidP="009E076B">
            <w:pPr>
              <w:rPr>
                <w:rFonts w:eastAsia="Times New Roman"/>
                <w:color w:val="003639" w:themeColor="text1"/>
                <w:szCs w:val="20"/>
                <w:lang w:eastAsia="en-AU" w:bidi="en-US"/>
              </w:rPr>
            </w:pPr>
            <w:r w:rsidRPr="00A11778">
              <w:rPr>
                <w:rFonts w:eastAsia="Times New Roman"/>
                <w:color w:val="003639" w:themeColor="text1"/>
                <w:szCs w:val="20"/>
                <w:lang w:eastAsia="en-AU" w:bidi="en-US"/>
              </w:rPr>
              <w:t xml:space="preserve">These factors can all be compounded by: </w:t>
            </w:r>
          </w:p>
          <w:p w14:paraId="46088DBF" w14:textId="77777777" w:rsidR="004144B4" w:rsidRPr="00A11778" w:rsidRDefault="004144B4" w:rsidP="00872031">
            <w:pPr>
              <w:pStyle w:val="ListParagraph"/>
              <w:numPr>
                <w:ilvl w:val="0"/>
                <w:numId w:val="67"/>
              </w:numPr>
              <w:suppressAutoHyphens/>
              <w:rPr>
                <w:color w:val="003639" w:themeColor="text1"/>
                <w:szCs w:val="20"/>
                <w:lang w:eastAsia="en-AU"/>
              </w:rPr>
            </w:pPr>
            <w:r w:rsidRPr="00A11778">
              <w:rPr>
                <w:color w:val="003639" w:themeColor="text1"/>
                <w:szCs w:val="20"/>
                <w:lang w:eastAsia="en-AU"/>
              </w:rPr>
              <w:t>School disengagement (conversely positive school engagement is protective)</w:t>
            </w:r>
          </w:p>
          <w:p w14:paraId="5132A1D1" w14:textId="77777777" w:rsidR="004144B4" w:rsidRPr="00A11778" w:rsidRDefault="004144B4" w:rsidP="00872031">
            <w:pPr>
              <w:pStyle w:val="ListParagraph"/>
              <w:numPr>
                <w:ilvl w:val="0"/>
                <w:numId w:val="67"/>
              </w:numPr>
              <w:suppressAutoHyphens/>
              <w:rPr>
                <w:color w:val="003639" w:themeColor="text1"/>
                <w:szCs w:val="20"/>
                <w:lang w:eastAsia="en-AU"/>
              </w:rPr>
            </w:pPr>
            <w:r w:rsidRPr="00A11778">
              <w:rPr>
                <w:color w:val="003639" w:themeColor="text1"/>
                <w:szCs w:val="20"/>
                <w:lang w:eastAsia="en-AU"/>
              </w:rPr>
              <w:lastRenderedPageBreak/>
              <w:t>shame and stigma around AVITH that reduces help seeking behaviour by families and young people</w:t>
            </w:r>
          </w:p>
          <w:p w14:paraId="1E76A911" w14:textId="77777777" w:rsidR="004144B4" w:rsidRPr="00A11778" w:rsidRDefault="004144B4" w:rsidP="00872031">
            <w:pPr>
              <w:pStyle w:val="ListParagraph"/>
              <w:numPr>
                <w:ilvl w:val="0"/>
                <w:numId w:val="67"/>
              </w:numPr>
              <w:suppressAutoHyphens/>
              <w:rPr>
                <w:color w:val="003639" w:themeColor="text1"/>
                <w:szCs w:val="20"/>
                <w:lang w:eastAsia="en-AU"/>
              </w:rPr>
            </w:pPr>
            <w:r w:rsidRPr="00A11778">
              <w:rPr>
                <w:color w:val="003639" w:themeColor="text1"/>
                <w:szCs w:val="20"/>
                <w:lang w:eastAsia="en-AU"/>
              </w:rPr>
              <w:t>lack of access to supports</w:t>
            </w:r>
          </w:p>
          <w:p w14:paraId="52ED6A54" w14:textId="58CB6DC8" w:rsidR="004144B4" w:rsidRPr="009F1366" w:rsidDel="00411DDA" w:rsidRDefault="004144B4" w:rsidP="00C75487">
            <w:pPr>
              <w:pStyle w:val="ListParagraph"/>
              <w:numPr>
                <w:ilvl w:val="0"/>
                <w:numId w:val="67"/>
              </w:numPr>
              <w:suppressAutoHyphens/>
              <w:rPr>
                <w:color w:val="003639" w:themeColor="text1"/>
                <w:szCs w:val="20"/>
                <w:lang w:eastAsia="en-AU"/>
              </w:rPr>
            </w:pPr>
            <w:r w:rsidRPr="00A11778">
              <w:rPr>
                <w:color w:val="003639" w:themeColor="text1"/>
                <w:szCs w:val="20"/>
                <w:lang w:eastAsia="en-AU"/>
              </w:rPr>
              <w:t>negative service or system level involvement in family life.</w:t>
            </w:r>
          </w:p>
        </w:tc>
      </w:tr>
    </w:tbl>
    <w:p w14:paraId="321E5031" w14:textId="12E22F36" w:rsidR="004144B4" w:rsidRPr="000B4296" w:rsidRDefault="004144B4" w:rsidP="00CE2F77">
      <w:pPr>
        <w:pStyle w:val="Heading2"/>
      </w:pPr>
      <w:r w:rsidRPr="000B4296">
        <w:lastRenderedPageBreak/>
        <w:t>References</w:t>
      </w:r>
    </w:p>
    <w:p w14:paraId="4FF72E28" w14:textId="77777777" w:rsidR="004144B4" w:rsidRPr="00E13344" w:rsidRDefault="004144B4" w:rsidP="000B4296">
      <w:pPr>
        <w:pStyle w:val="ListParagraph"/>
        <w:numPr>
          <w:ilvl w:val="0"/>
          <w:numId w:val="58"/>
        </w:numPr>
        <w:rPr>
          <w:noProof/>
        </w:rPr>
      </w:pPr>
      <w:r w:rsidRPr="00E13344">
        <w:rPr>
          <w:noProof/>
        </w:rPr>
        <w:t>Pereira R, Loinaz I, del Hoyo-Bilbao J, Arrospide J, Bertino L, Calvo A, Montes Y, Gutiérrez MM. Proposal for a definition of filio-parental violence: Consensus of the Spanish Society for the Study of Filio-Parental Violence (SEVIFIP). Papeles del Psicólogo. 2017;38:216-23.</w:t>
      </w:r>
    </w:p>
    <w:p w14:paraId="58B2A3E0" w14:textId="77777777" w:rsidR="004144B4" w:rsidRPr="00E13344" w:rsidRDefault="004144B4" w:rsidP="000B4296">
      <w:pPr>
        <w:pStyle w:val="ListParagraph"/>
        <w:numPr>
          <w:ilvl w:val="0"/>
          <w:numId w:val="58"/>
        </w:numPr>
        <w:rPr>
          <w:noProof/>
        </w:rPr>
      </w:pPr>
      <w:r w:rsidRPr="00E13344">
        <w:rPr>
          <w:noProof/>
        </w:rPr>
        <w:t>Fitz-Gibbon K, Elliott K, Maher J. Investigating adolescent family violence in Victoria: understanding experiences and practitioner perspectives: Monash University; 2018.</w:t>
      </w:r>
    </w:p>
    <w:p w14:paraId="58459F11" w14:textId="77777777" w:rsidR="004144B4" w:rsidRPr="00E13344" w:rsidRDefault="004144B4" w:rsidP="000B4296">
      <w:pPr>
        <w:pStyle w:val="ListParagraph"/>
        <w:numPr>
          <w:ilvl w:val="0"/>
          <w:numId w:val="58"/>
        </w:numPr>
        <w:rPr>
          <w:noProof/>
        </w:rPr>
      </w:pPr>
      <w:r w:rsidRPr="00E13344">
        <w:rPr>
          <w:noProof/>
        </w:rPr>
        <w:t>Rutter N. “I’m meant to be his comfort blanket, not a punching bag” – Ethnomimesis as an exploration of maternal child to parent violence in pre-adolescents. Qualitative Social Work. 2021;20(5):1317-38.</w:t>
      </w:r>
    </w:p>
    <w:p w14:paraId="01F42F17" w14:textId="77777777" w:rsidR="004144B4" w:rsidRPr="00E13344" w:rsidRDefault="004144B4" w:rsidP="000B4296">
      <w:pPr>
        <w:pStyle w:val="ListParagraph"/>
        <w:numPr>
          <w:ilvl w:val="0"/>
          <w:numId w:val="58"/>
        </w:numPr>
        <w:rPr>
          <w:noProof/>
        </w:rPr>
      </w:pPr>
      <w:r w:rsidRPr="00E13344">
        <w:rPr>
          <w:noProof/>
        </w:rPr>
        <w:t>Peck A, Hutchinson M, Provost S. Young person-to-mother violence: an integrative review of evidence from Australia and New Zealand. Australian Social Work. 2021;76:245 - 58.</w:t>
      </w:r>
    </w:p>
    <w:p w14:paraId="0FBF25A7" w14:textId="77777777" w:rsidR="004144B4" w:rsidRPr="00E13344" w:rsidRDefault="004144B4" w:rsidP="000B4296">
      <w:pPr>
        <w:pStyle w:val="ListParagraph"/>
        <w:numPr>
          <w:ilvl w:val="0"/>
          <w:numId w:val="58"/>
        </w:numPr>
        <w:rPr>
          <w:noProof/>
        </w:rPr>
      </w:pPr>
      <w:r w:rsidRPr="00E13344">
        <w:rPr>
          <w:noProof/>
        </w:rPr>
        <w:t>Bobic N. Adolescent violence towards parents: Australian Domestic &amp; Family Violence Clearinghouse; 2004.</w:t>
      </w:r>
    </w:p>
    <w:p w14:paraId="33143629" w14:textId="77777777" w:rsidR="004144B4" w:rsidRPr="00E13344" w:rsidRDefault="004144B4" w:rsidP="000B4296">
      <w:pPr>
        <w:pStyle w:val="ListParagraph"/>
        <w:numPr>
          <w:ilvl w:val="0"/>
          <w:numId w:val="58"/>
        </w:numPr>
        <w:rPr>
          <w:noProof/>
        </w:rPr>
      </w:pPr>
      <w:r w:rsidRPr="00E13344">
        <w:rPr>
          <w:noProof/>
        </w:rPr>
        <w:t>Cottrell B, Monk P. Adolescent-to-parent abuse: A qualitative overview of common themes. Journal of family Issues. 2004;25(8):1072-95.</w:t>
      </w:r>
    </w:p>
    <w:p w14:paraId="296EA01B" w14:textId="77777777" w:rsidR="004144B4" w:rsidRPr="00E13344" w:rsidRDefault="004144B4" w:rsidP="000B4296">
      <w:pPr>
        <w:pStyle w:val="ListParagraph"/>
        <w:numPr>
          <w:ilvl w:val="0"/>
          <w:numId w:val="58"/>
        </w:numPr>
        <w:rPr>
          <w:noProof/>
        </w:rPr>
      </w:pPr>
      <w:r w:rsidRPr="00E13344">
        <w:rPr>
          <w:noProof/>
        </w:rPr>
        <w:t>Gallagher E. Parents victimised by their children. Australian and New Zealand Journal of Family Therapy, The. 2004;25(1):1-12.</w:t>
      </w:r>
    </w:p>
    <w:p w14:paraId="14010427" w14:textId="7B383EB3" w:rsidR="004144B4" w:rsidRPr="00E13344" w:rsidRDefault="004144B4" w:rsidP="000B4296">
      <w:pPr>
        <w:pStyle w:val="ListParagraph"/>
        <w:numPr>
          <w:ilvl w:val="0"/>
          <w:numId w:val="58"/>
        </w:numPr>
        <w:rPr>
          <w:noProof/>
        </w:rPr>
      </w:pPr>
      <w:r w:rsidRPr="00E13344">
        <w:rPr>
          <w:noProof/>
        </w:rPr>
        <w:t xml:space="preserve">Howard J, Rottem N. It all starts at home: Male adolescent violence to mothers. </w:t>
      </w:r>
      <w:hyperlink r:id="rId20" w:history="1">
        <w:r w:rsidRPr="00D7344F">
          <w:rPr>
            <w:rStyle w:val="Hyperlink"/>
            <w:rFonts w:ascii="Arial" w:hAnsi="Arial"/>
          </w:rPr>
          <w:t>https://apo.org.au/sites/default/files/resource-files/2008-09/apo-nid3995.pdf</w:t>
        </w:r>
      </w:hyperlink>
      <w:r w:rsidRPr="00E13344">
        <w:rPr>
          <w:noProof/>
        </w:rPr>
        <w:t>; 2008.</w:t>
      </w:r>
    </w:p>
    <w:p w14:paraId="06090591" w14:textId="77777777" w:rsidR="004144B4" w:rsidRPr="00E13344" w:rsidRDefault="004144B4" w:rsidP="000B4296">
      <w:pPr>
        <w:pStyle w:val="ListParagraph"/>
        <w:numPr>
          <w:ilvl w:val="0"/>
          <w:numId w:val="58"/>
        </w:numPr>
        <w:rPr>
          <w:noProof/>
        </w:rPr>
      </w:pPr>
      <w:r w:rsidRPr="00E13344">
        <w:rPr>
          <w:noProof/>
        </w:rPr>
        <w:t>Gartland D, Conway LJ, Giallo R, Mensah FK, Cook F, Hegarty K, Herrman H, Nicholson J, Reilly S, Hiscock H. Intimate partner violence and child outcomes at age 10: a pregnancy cohort. Archives of disease in childhood. 2021;106(11):1066-74.</w:t>
      </w:r>
    </w:p>
    <w:p w14:paraId="23274466" w14:textId="77777777" w:rsidR="004144B4" w:rsidRPr="00E13344" w:rsidRDefault="004144B4" w:rsidP="000B4296">
      <w:pPr>
        <w:pStyle w:val="ListParagraph"/>
        <w:numPr>
          <w:ilvl w:val="0"/>
          <w:numId w:val="58"/>
        </w:numPr>
        <w:rPr>
          <w:noProof/>
        </w:rPr>
      </w:pPr>
      <w:r w:rsidRPr="00E13344">
        <w:rPr>
          <w:noProof/>
        </w:rPr>
        <w:t>Gartland D, Woolhouse H, Mensah FK, Hegarty K, Hiscock H, Brown SJ. The case for early intervention to reduce the impact of intimate partner abuse on child outcomes: Results of an Australian cohort of first</w:t>
      </w:r>
      <w:r w:rsidRPr="000B4296">
        <w:rPr>
          <w:rFonts w:ascii="Cambria Math" w:hAnsi="Cambria Math" w:cs="Cambria Math"/>
          <w:noProof/>
        </w:rPr>
        <w:t>‐</w:t>
      </w:r>
      <w:r w:rsidRPr="00E13344">
        <w:rPr>
          <w:noProof/>
        </w:rPr>
        <w:t>time mothers. Birth. 2014;41(4):374-83.</w:t>
      </w:r>
    </w:p>
    <w:p w14:paraId="3477C3CA" w14:textId="77777777" w:rsidR="004144B4" w:rsidRPr="00E13344" w:rsidRDefault="004144B4" w:rsidP="000B4296">
      <w:pPr>
        <w:pStyle w:val="ListParagraph"/>
        <w:numPr>
          <w:ilvl w:val="0"/>
          <w:numId w:val="58"/>
        </w:numPr>
        <w:rPr>
          <w:noProof/>
        </w:rPr>
      </w:pPr>
      <w:r w:rsidRPr="00E13344">
        <w:rPr>
          <w:noProof/>
        </w:rPr>
        <w:t>Pagani L, Tremblay R, Nagin D, Zoccolillo M, Vitaro F, McDuff P. Risk factor models for adolescent verbal and physical aggression toward mothers. International journal of behavioral development. 2004;28(6):528-37.</w:t>
      </w:r>
    </w:p>
    <w:p w14:paraId="719EE1D7" w14:textId="77777777" w:rsidR="004144B4" w:rsidRPr="00E13344" w:rsidRDefault="004144B4" w:rsidP="000B4296">
      <w:pPr>
        <w:pStyle w:val="ListParagraph"/>
        <w:numPr>
          <w:ilvl w:val="0"/>
          <w:numId w:val="58"/>
        </w:numPr>
        <w:rPr>
          <w:noProof/>
        </w:rPr>
      </w:pPr>
      <w:r w:rsidRPr="00E13344">
        <w:rPr>
          <w:noProof/>
        </w:rPr>
        <w:t>Campbell E, Richter J, Howard J, Cockburn H. The PIPA project: Positive interventions for perpetrators of adolescent violence in the home (AVITH): Australia's National Research Organisation for Women's Safety; 2020.</w:t>
      </w:r>
    </w:p>
    <w:p w14:paraId="774ADD8D" w14:textId="77777777" w:rsidR="004144B4" w:rsidRPr="00E13344" w:rsidRDefault="004144B4" w:rsidP="000B4296">
      <w:pPr>
        <w:pStyle w:val="ListParagraph"/>
        <w:numPr>
          <w:ilvl w:val="0"/>
          <w:numId w:val="58"/>
        </w:numPr>
        <w:rPr>
          <w:noProof/>
        </w:rPr>
      </w:pPr>
      <w:r w:rsidRPr="00E13344">
        <w:rPr>
          <w:noProof/>
        </w:rPr>
        <w:t>Kehoe M, Ott N, Hopkins L. Responding to adolescent violence in the home—A community mental health approach. Australian and New Zealand Journal of Family Therapy. 2020;41:342-54.</w:t>
      </w:r>
    </w:p>
    <w:p w14:paraId="0E22725F" w14:textId="77777777" w:rsidR="004144B4" w:rsidRPr="00E13344" w:rsidRDefault="004144B4" w:rsidP="000B4296">
      <w:pPr>
        <w:pStyle w:val="ListParagraph"/>
        <w:numPr>
          <w:ilvl w:val="0"/>
          <w:numId w:val="58"/>
        </w:numPr>
        <w:rPr>
          <w:noProof/>
        </w:rPr>
      </w:pPr>
      <w:r w:rsidRPr="00E13344">
        <w:rPr>
          <w:noProof/>
        </w:rPr>
        <w:t>Contreras L, Bustos-Navarrete C, Cano-Lozano MC. Child-to-parent Violence Questionnaire (CPV-Q): Validation among Spanish adolescents. International Journal of Clinical and Health Psychology : IJCHP. 2018;19:67 - 74.</w:t>
      </w:r>
    </w:p>
    <w:p w14:paraId="5A8A5BA2" w14:textId="2168AC3F" w:rsidR="004144B4" w:rsidRPr="00E13344" w:rsidRDefault="004144B4" w:rsidP="000B4296">
      <w:pPr>
        <w:pStyle w:val="ListParagraph"/>
        <w:numPr>
          <w:ilvl w:val="0"/>
          <w:numId w:val="58"/>
        </w:numPr>
        <w:rPr>
          <w:noProof/>
        </w:rPr>
      </w:pPr>
      <w:r w:rsidRPr="00E13344">
        <w:rPr>
          <w:noProof/>
        </w:rPr>
        <w:t xml:space="preserve">Fitz-Gibbon K, Meyer S, Boxall H, Maher J, Roberts S. Adolescent family violence in Australia: A national study of service and support needs for young people who use family violence. </w:t>
      </w:r>
      <w:hyperlink r:id="rId21" w:history="1">
        <w:r w:rsidRPr="00D7344F">
          <w:rPr>
            <w:rStyle w:val="Hyperlink"/>
            <w:rFonts w:ascii="Arial" w:hAnsi="Arial"/>
          </w:rPr>
          <w:t>https://anrowsdev.wpenginepowered.com/wp-content/uploads/2022/09/RP.20.03-RR1_FitzGibbon-AFVinAus.pdf</w:t>
        </w:r>
      </w:hyperlink>
      <w:r w:rsidRPr="00E13344">
        <w:rPr>
          <w:noProof/>
        </w:rPr>
        <w:t>; 2022.</w:t>
      </w:r>
    </w:p>
    <w:p w14:paraId="08EA4DBE" w14:textId="77777777" w:rsidR="004144B4" w:rsidRPr="00E13344" w:rsidRDefault="004144B4" w:rsidP="000B4296">
      <w:pPr>
        <w:pStyle w:val="ListParagraph"/>
        <w:numPr>
          <w:ilvl w:val="0"/>
          <w:numId w:val="58"/>
        </w:numPr>
        <w:rPr>
          <w:noProof/>
        </w:rPr>
      </w:pPr>
      <w:r w:rsidRPr="00E13344">
        <w:rPr>
          <w:noProof/>
        </w:rPr>
        <w:t>Simmons M, McEwan TE, Purcell R. A Social-Cognitive Investigation of Young Adults Who Abuse Their Parents. J Interpers Violence. 2022;37(1-2):Np327-np49.</w:t>
      </w:r>
    </w:p>
    <w:p w14:paraId="1FB5171E" w14:textId="77777777" w:rsidR="004144B4" w:rsidRPr="00E13344" w:rsidRDefault="004144B4" w:rsidP="000B4296">
      <w:pPr>
        <w:pStyle w:val="ListParagraph"/>
        <w:numPr>
          <w:ilvl w:val="0"/>
          <w:numId w:val="58"/>
        </w:numPr>
        <w:rPr>
          <w:noProof/>
        </w:rPr>
      </w:pPr>
      <w:r w:rsidRPr="00E13344">
        <w:rPr>
          <w:noProof/>
        </w:rPr>
        <w:t>Calvete E, Gamez-Guadix M, Garcia-Salvador S. Social information processing in child-to-parent aggression: Bidirectional associations in a 1-year prospective study. Journal of Child and Family Studies. 2015;24:2204-16.</w:t>
      </w:r>
    </w:p>
    <w:p w14:paraId="01448A02" w14:textId="77777777" w:rsidR="004144B4" w:rsidRPr="00E13344" w:rsidRDefault="004144B4" w:rsidP="000B4296">
      <w:pPr>
        <w:pStyle w:val="ListParagraph"/>
        <w:numPr>
          <w:ilvl w:val="0"/>
          <w:numId w:val="58"/>
        </w:numPr>
        <w:rPr>
          <w:noProof/>
        </w:rPr>
      </w:pPr>
      <w:r w:rsidRPr="00E13344">
        <w:rPr>
          <w:noProof/>
        </w:rPr>
        <w:t>Calvete E, Orue I, Gonzalez-Cabrera J. Child-to-parent violence: Comparing adolescent-reports with parent-reports. Revista de Psicología Clínica con Niños y Adolescentes. 2017;4(1):9-15.</w:t>
      </w:r>
    </w:p>
    <w:p w14:paraId="3D6F135E" w14:textId="77777777" w:rsidR="004144B4" w:rsidRPr="00E13344" w:rsidRDefault="004144B4" w:rsidP="000B4296">
      <w:pPr>
        <w:pStyle w:val="ListParagraph"/>
        <w:numPr>
          <w:ilvl w:val="0"/>
          <w:numId w:val="58"/>
        </w:numPr>
        <w:rPr>
          <w:noProof/>
        </w:rPr>
      </w:pPr>
      <w:r w:rsidRPr="00E13344">
        <w:rPr>
          <w:noProof/>
        </w:rPr>
        <w:t>Ibabe I. Adolescent-to-parent violence and family environment: The perceptions of same reality? International journal of environmental research and public health. 2019;16(12):2215.</w:t>
      </w:r>
    </w:p>
    <w:p w14:paraId="6946D02B" w14:textId="77777777" w:rsidR="004144B4" w:rsidRPr="00E13344" w:rsidRDefault="004144B4" w:rsidP="000B4296">
      <w:pPr>
        <w:pStyle w:val="ListParagraph"/>
        <w:numPr>
          <w:ilvl w:val="0"/>
          <w:numId w:val="58"/>
        </w:numPr>
        <w:rPr>
          <w:noProof/>
        </w:rPr>
      </w:pPr>
      <w:r w:rsidRPr="00E13344">
        <w:rPr>
          <w:noProof/>
        </w:rPr>
        <w:t>Lyons J, Bell T, Fréchette S, Romano E. Child-to-parent violence: Frequency and family correlates. Journal of Family Violence. 2015;30:729-42.</w:t>
      </w:r>
    </w:p>
    <w:p w14:paraId="5CACF0D0" w14:textId="77777777" w:rsidR="004144B4" w:rsidRPr="00E13344" w:rsidRDefault="004144B4" w:rsidP="000B4296">
      <w:pPr>
        <w:pStyle w:val="ListParagraph"/>
        <w:numPr>
          <w:ilvl w:val="0"/>
          <w:numId w:val="58"/>
        </w:numPr>
        <w:rPr>
          <w:noProof/>
        </w:rPr>
      </w:pPr>
      <w:r w:rsidRPr="00E13344">
        <w:rPr>
          <w:noProof/>
        </w:rPr>
        <w:t>Hoyo-Bilbao D, Orue I, Gámez-Guadix M, Calvete E. Multivariate models of child-to-mother violence and child-to-father violence among adolescents. The European Journal of Psychology Applied to Legal Context. 2020;12(1):11-21.</w:t>
      </w:r>
    </w:p>
    <w:p w14:paraId="719F4AAE" w14:textId="77777777" w:rsidR="004144B4" w:rsidRPr="00E13344" w:rsidRDefault="004144B4" w:rsidP="000B4296">
      <w:pPr>
        <w:pStyle w:val="ListParagraph"/>
        <w:numPr>
          <w:ilvl w:val="0"/>
          <w:numId w:val="58"/>
        </w:numPr>
        <w:rPr>
          <w:noProof/>
        </w:rPr>
      </w:pPr>
      <w:r w:rsidRPr="00E13344">
        <w:rPr>
          <w:noProof/>
        </w:rPr>
        <w:t>Condry R, Miles C. Children Who Perpetrate Family Violence Are Still Children: Understanding and Responding to Adolescent to Parent Violence. In: Fitz-Gibbon K, Douglas H, Maher J, editors. Young People Using Family Violence: International Perspectives on Research, Responses and Reforms. Singapore: Springer Singapore; 2021. p. 1-18.</w:t>
      </w:r>
    </w:p>
    <w:p w14:paraId="0700DD5D" w14:textId="77777777" w:rsidR="004144B4" w:rsidRPr="00E13344" w:rsidRDefault="004144B4" w:rsidP="000B4296">
      <w:pPr>
        <w:pStyle w:val="ListParagraph"/>
        <w:numPr>
          <w:ilvl w:val="0"/>
          <w:numId w:val="58"/>
        </w:numPr>
        <w:rPr>
          <w:noProof/>
        </w:rPr>
      </w:pPr>
      <w:r w:rsidRPr="00E13344">
        <w:rPr>
          <w:noProof/>
        </w:rPr>
        <w:t>Moulds L, Day A, Mayshak R, Mildred H, Miller P. Adolescent violence towards parents—Prevalence and characteristics using Australian Police Data. Australian &amp; New Zealand Journal of Criminology. 2019;52(2):231-49.</w:t>
      </w:r>
    </w:p>
    <w:p w14:paraId="4738FEB1" w14:textId="77777777" w:rsidR="004144B4" w:rsidRPr="00E13344" w:rsidRDefault="004144B4" w:rsidP="000B4296">
      <w:pPr>
        <w:pStyle w:val="ListParagraph"/>
        <w:numPr>
          <w:ilvl w:val="0"/>
          <w:numId w:val="58"/>
        </w:numPr>
        <w:rPr>
          <w:noProof/>
        </w:rPr>
      </w:pPr>
      <w:r w:rsidRPr="00E13344">
        <w:rPr>
          <w:noProof/>
        </w:rPr>
        <w:t>Fitz-Gibbon K, Meyer S, Boxall H, et al. Adolescent family violence in Australia: a national study of prevalence, history of childhood victimisation and impacts: Australia's National Research Organisation for Women's Safety; 2022.</w:t>
      </w:r>
    </w:p>
    <w:p w14:paraId="708FB832" w14:textId="77777777" w:rsidR="004144B4" w:rsidRPr="00E13344" w:rsidRDefault="004144B4" w:rsidP="000B4296">
      <w:pPr>
        <w:pStyle w:val="ListParagraph"/>
        <w:numPr>
          <w:ilvl w:val="0"/>
          <w:numId w:val="58"/>
        </w:numPr>
        <w:rPr>
          <w:noProof/>
        </w:rPr>
      </w:pPr>
      <w:r w:rsidRPr="00E13344">
        <w:rPr>
          <w:noProof/>
        </w:rPr>
        <w:t>O’Keefe M. Teen dating violence: A review of risk factors and prevention efforts. National Electronic Network on violence against women. 2005;1:1-5.</w:t>
      </w:r>
    </w:p>
    <w:p w14:paraId="549A4595" w14:textId="77777777" w:rsidR="004144B4" w:rsidRPr="00E13344" w:rsidRDefault="004144B4" w:rsidP="000B4296">
      <w:pPr>
        <w:pStyle w:val="ListParagraph"/>
        <w:numPr>
          <w:ilvl w:val="0"/>
          <w:numId w:val="58"/>
        </w:numPr>
        <w:rPr>
          <w:noProof/>
        </w:rPr>
      </w:pPr>
      <w:r w:rsidRPr="00E13344">
        <w:rPr>
          <w:noProof/>
        </w:rPr>
        <w:t>Miles C, Condry R. Adolescent to parent violence: the police response to parents reporting violence from their children. Policing and Society. 2014;26:1-20.</w:t>
      </w:r>
    </w:p>
    <w:p w14:paraId="3D6C42DD" w14:textId="77777777" w:rsidR="004144B4" w:rsidRPr="00E13344" w:rsidRDefault="004144B4" w:rsidP="000B4296">
      <w:pPr>
        <w:pStyle w:val="ListParagraph"/>
        <w:numPr>
          <w:ilvl w:val="0"/>
          <w:numId w:val="58"/>
        </w:numPr>
        <w:rPr>
          <w:noProof/>
        </w:rPr>
      </w:pPr>
      <w:r w:rsidRPr="00E13344">
        <w:rPr>
          <w:noProof/>
        </w:rPr>
        <w:t>Beckmann L, Bergmann MC, Fischer F, Mößle T. Risk and protective factors of child-to-parent violence: A comparison between physical and verbal aggression. Journal of interpersonal violence. 2021;36(3-4):NP1309-34NP.</w:t>
      </w:r>
    </w:p>
    <w:p w14:paraId="7D4DFB0A" w14:textId="77777777" w:rsidR="004144B4" w:rsidRPr="00E13344" w:rsidRDefault="004144B4" w:rsidP="000B4296">
      <w:pPr>
        <w:pStyle w:val="ListParagraph"/>
        <w:numPr>
          <w:ilvl w:val="0"/>
          <w:numId w:val="58"/>
        </w:numPr>
        <w:rPr>
          <w:noProof/>
        </w:rPr>
      </w:pPr>
      <w:r w:rsidRPr="00E13344">
        <w:rPr>
          <w:noProof/>
        </w:rPr>
        <w:t>Ibabe I, Jaureguizar J, Bentler PM. Risk factors for child-to-parent violence. Journal of family violence. 2013;28:523-34.</w:t>
      </w:r>
    </w:p>
    <w:p w14:paraId="33A497E8" w14:textId="77777777" w:rsidR="004144B4" w:rsidRPr="00E13344" w:rsidRDefault="004144B4" w:rsidP="000B4296">
      <w:pPr>
        <w:pStyle w:val="ListParagraph"/>
        <w:numPr>
          <w:ilvl w:val="0"/>
          <w:numId w:val="58"/>
        </w:numPr>
        <w:rPr>
          <w:noProof/>
        </w:rPr>
      </w:pPr>
      <w:r w:rsidRPr="00E13344">
        <w:rPr>
          <w:noProof/>
        </w:rPr>
        <w:t>Loinaz Calvo I, Barboni L, de Sousa AM. Gender differences in child-to-parent violence risk factors. Anales de Psicología, 2020, vol 36, num 3, p 408-417. 2020.</w:t>
      </w:r>
    </w:p>
    <w:p w14:paraId="4C648110" w14:textId="77777777" w:rsidR="004144B4" w:rsidRPr="00E13344" w:rsidRDefault="004144B4" w:rsidP="000B4296">
      <w:pPr>
        <w:pStyle w:val="ListParagraph"/>
        <w:numPr>
          <w:ilvl w:val="0"/>
          <w:numId w:val="58"/>
        </w:numPr>
        <w:rPr>
          <w:noProof/>
        </w:rPr>
      </w:pPr>
      <w:r w:rsidRPr="00E13344">
        <w:rPr>
          <w:noProof/>
        </w:rPr>
        <w:t>Burck D. Adolescent-to-Parent Violence and the Promise of Attachment Based Interventions. In: Fitz-Gibbon K, Douglas H, Maher J, editors. Young People Using Family Violence: International Perspectives on Research, Responses and Reforms. Singapore: Springer Singapore; 2021. p. 55-68.</w:t>
      </w:r>
    </w:p>
    <w:p w14:paraId="46B81E3A" w14:textId="77777777" w:rsidR="004144B4" w:rsidRPr="00E13344" w:rsidRDefault="004144B4" w:rsidP="000B4296">
      <w:pPr>
        <w:pStyle w:val="ListParagraph"/>
        <w:numPr>
          <w:ilvl w:val="0"/>
          <w:numId w:val="58"/>
        </w:numPr>
        <w:rPr>
          <w:noProof/>
        </w:rPr>
      </w:pPr>
      <w:r w:rsidRPr="00E13344">
        <w:rPr>
          <w:noProof/>
        </w:rPr>
        <w:t>Burck D, Walsh D, Lynch D. Silenced mothers: Exploring definitions of adolescent-to-parent violence and implications for practice. Advances in social work. 2019;21:7-18.</w:t>
      </w:r>
    </w:p>
    <w:p w14:paraId="206C61A0" w14:textId="0F8D7B1E" w:rsidR="004144B4" w:rsidRPr="00E13344" w:rsidRDefault="004144B4" w:rsidP="000B4296">
      <w:pPr>
        <w:pStyle w:val="ListParagraph"/>
        <w:numPr>
          <w:ilvl w:val="0"/>
          <w:numId w:val="58"/>
        </w:numPr>
        <w:rPr>
          <w:noProof/>
        </w:rPr>
      </w:pPr>
      <w:r w:rsidRPr="00E13344">
        <w:rPr>
          <w:noProof/>
        </w:rPr>
        <w:t xml:space="preserve">Campbell E, Ellard E, Hew E, Simpson M, McCann B, Meyer S. WRAP Around Families Experiencing AVITH: Towards a Collaborative Service Response. </w:t>
      </w:r>
      <w:hyperlink r:id="rId22" w:history="1">
        <w:r w:rsidRPr="00D7344F">
          <w:rPr>
            <w:rStyle w:val="Hyperlink"/>
            <w:rFonts w:ascii="Arial" w:hAnsi="Arial"/>
          </w:rPr>
          <w:t>https://anrowsdev.wpenginepowered.com/wp-content/uploads/2023/04/RP.20.01-Campbell-RR1-WRAP-AVITH-1.pdf</w:t>
        </w:r>
      </w:hyperlink>
      <w:r w:rsidRPr="00E13344">
        <w:rPr>
          <w:noProof/>
        </w:rPr>
        <w:t>; 2023.</w:t>
      </w:r>
    </w:p>
    <w:p w14:paraId="78EA06B2" w14:textId="77777777" w:rsidR="004144B4" w:rsidRPr="00E13344" w:rsidRDefault="004144B4" w:rsidP="000B4296">
      <w:pPr>
        <w:pStyle w:val="ListParagraph"/>
        <w:numPr>
          <w:ilvl w:val="0"/>
          <w:numId w:val="58"/>
        </w:numPr>
        <w:rPr>
          <w:noProof/>
        </w:rPr>
      </w:pPr>
      <w:r w:rsidRPr="00E13344">
        <w:rPr>
          <w:noProof/>
        </w:rPr>
        <w:lastRenderedPageBreak/>
        <w:t>Arias Rivera S, Hidalgo García M. Theoretical framework and explanatory factors for child-to-parent violence. A scoping review. Anales de psicología (Murcia, Spain). 2020;36(2):220.</w:t>
      </w:r>
    </w:p>
    <w:p w14:paraId="450FD71F" w14:textId="77777777" w:rsidR="004144B4" w:rsidRPr="00E13344" w:rsidRDefault="004144B4" w:rsidP="000B4296">
      <w:pPr>
        <w:pStyle w:val="ListParagraph"/>
        <w:numPr>
          <w:ilvl w:val="0"/>
          <w:numId w:val="58"/>
        </w:numPr>
        <w:rPr>
          <w:noProof/>
        </w:rPr>
      </w:pPr>
      <w:r w:rsidRPr="00E13344">
        <w:rPr>
          <w:noProof/>
        </w:rPr>
        <w:t>Armstrong GS, Muftic LR, Bouffard LA. Factors Influencing Law Enforcement Responses to Child to Parent Violence. J Interpers Violence. 2021;36(9-10):NP4979-NP97.</w:t>
      </w:r>
    </w:p>
    <w:p w14:paraId="0BBC8EDD" w14:textId="77777777" w:rsidR="004144B4" w:rsidRPr="00E13344" w:rsidRDefault="004144B4" w:rsidP="000B4296">
      <w:pPr>
        <w:pStyle w:val="ListParagraph"/>
        <w:numPr>
          <w:ilvl w:val="0"/>
          <w:numId w:val="58"/>
        </w:numPr>
        <w:rPr>
          <w:noProof/>
        </w:rPr>
      </w:pPr>
      <w:r w:rsidRPr="00E13344">
        <w:rPr>
          <w:noProof/>
        </w:rPr>
        <w:t>Margolin G, Baucom BR. Adolescents' aggression to parents: longitudinal links with parents' physical aggression. J Adolesc Health. 2014;55(5):645-51.</w:t>
      </w:r>
    </w:p>
    <w:p w14:paraId="5BC17C84" w14:textId="77777777" w:rsidR="004144B4" w:rsidRPr="00E13344" w:rsidRDefault="004144B4" w:rsidP="000B4296">
      <w:pPr>
        <w:pStyle w:val="ListParagraph"/>
        <w:numPr>
          <w:ilvl w:val="0"/>
          <w:numId w:val="58"/>
        </w:numPr>
        <w:rPr>
          <w:noProof/>
        </w:rPr>
      </w:pPr>
      <w:r w:rsidRPr="00E13344">
        <w:rPr>
          <w:noProof/>
        </w:rPr>
        <w:t>Kwong MJ, Bartholomew K, Henderson AJ, Trinke SJ. The intergenerational transmission of relationship violence. J Fam Psychol. 2003;17(3):288-301.</w:t>
      </w:r>
    </w:p>
    <w:p w14:paraId="28D2B1B1" w14:textId="77777777" w:rsidR="004144B4" w:rsidRPr="00E13344" w:rsidRDefault="004144B4" w:rsidP="000B4296">
      <w:pPr>
        <w:pStyle w:val="ListParagraph"/>
        <w:numPr>
          <w:ilvl w:val="0"/>
          <w:numId w:val="58"/>
        </w:numPr>
        <w:rPr>
          <w:noProof/>
        </w:rPr>
      </w:pPr>
      <w:r w:rsidRPr="00E13344">
        <w:rPr>
          <w:noProof/>
        </w:rPr>
        <w:t>Meyer S, Reeves E, Fitz-Gibbon K. The intergenerational transmission of family violence: Mothers' perceptions of children's experiences and use of violence in the home. Child &amp; Family Social Work. 2021;26(3):476-84.</w:t>
      </w:r>
    </w:p>
    <w:p w14:paraId="35F78FB2" w14:textId="77777777" w:rsidR="004144B4" w:rsidRPr="00E13344" w:rsidRDefault="004144B4" w:rsidP="000B4296">
      <w:pPr>
        <w:pStyle w:val="ListParagraph"/>
        <w:numPr>
          <w:ilvl w:val="0"/>
          <w:numId w:val="58"/>
        </w:numPr>
        <w:rPr>
          <w:noProof/>
        </w:rPr>
      </w:pPr>
      <w:r w:rsidRPr="00E13344">
        <w:rPr>
          <w:noProof/>
        </w:rPr>
        <w:t>Button DM, Gealt R. High Risk Behaviors Among Victims of Sibling Violence. Journal of family violence. 2010;25(2):131-40.</w:t>
      </w:r>
    </w:p>
    <w:p w14:paraId="75506292" w14:textId="77777777" w:rsidR="004144B4" w:rsidRPr="00E13344" w:rsidRDefault="004144B4" w:rsidP="000B4296">
      <w:pPr>
        <w:pStyle w:val="ListParagraph"/>
        <w:numPr>
          <w:ilvl w:val="0"/>
          <w:numId w:val="58"/>
        </w:numPr>
        <w:rPr>
          <w:noProof/>
        </w:rPr>
      </w:pPr>
      <w:r w:rsidRPr="00E13344">
        <w:rPr>
          <w:noProof/>
        </w:rPr>
        <w:t>Gair S, Zuchowski I, Thorpe R, Henderson D, Munns L. ‘In the Firing Line’: Grandparent Carers at Risk of Family Violence. Journal of Family Violence. 2019;34:321-9.</w:t>
      </w:r>
    </w:p>
    <w:p w14:paraId="27E2831C" w14:textId="77777777" w:rsidR="004144B4" w:rsidRPr="00E13344" w:rsidRDefault="004144B4" w:rsidP="000B4296">
      <w:pPr>
        <w:pStyle w:val="ListParagraph"/>
        <w:numPr>
          <w:ilvl w:val="0"/>
          <w:numId w:val="58"/>
        </w:numPr>
        <w:rPr>
          <w:noProof/>
        </w:rPr>
      </w:pPr>
      <w:r w:rsidRPr="00E13344">
        <w:rPr>
          <w:noProof/>
        </w:rPr>
        <w:t>Holt A, Birchall J. Investigating Experiences of Violence towards Grandparents in a Kinship Care Context: Project Summary. 2020.</w:t>
      </w:r>
    </w:p>
    <w:p w14:paraId="37CC9D9E" w14:textId="77777777" w:rsidR="004144B4" w:rsidRPr="00E13344" w:rsidRDefault="004144B4" w:rsidP="000B4296">
      <w:pPr>
        <w:pStyle w:val="ListParagraph"/>
        <w:numPr>
          <w:ilvl w:val="0"/>
          <w:numId w:val="58"/>
        </w:numPr>
        <w:rPr>
          <w:noProof/>
        </w:rPr>
      </w:pPr>
      <w:r w:rsidRPr="00E13344">
        <w:rPr>
          <w:noProof/>
        </w:rPr>
        <w:t>Selwyn J, Meakings S. Adolescent-to-Parent Violence in Adoptive Families. Br J Soc Work. 2016;46(5):1224-40.</w:t>
      </w:r>
    </w:p>
    <w:p w14:paraId="3FC78513" w14:textId="77777777" w:rsidR="004144B4" w:rsidRPr="00E13344" w:rsidRDefault="004144B4" w:rsidP="000B4296">
      <w:pPr>
        <w:pStyle w:val="ListParagraph"/>
        <w:numPr>
          <w:ilvl w:val="0"/>
          <w:numId w:val="58"/>
        </w:numPr>
        <w:rPr>
          <w:noProof/>
        </w:rPr>
      </w:pPr>
      <w:r w:rsidRPr="00E13344">
        <w:rPr>
          <w:noProof/>
        </w:rPr>
        <w:t>Howard J. Adolescent violence in the home: the missing link in family violence prevention and response: Australian Domestic &amp; Family Violence Clearinghouse, University of New South Wales; 2011.</w:t>
      </w:r>
    </w:p>
    <w:p w14:paraId="6448F91A" w14:textId="77777777" w:rsidR="004144B4" w:rsidRPr="00E13344" w:rsidRDefault="004144B4" w:rsidP="000B4296">
      <w:pPr>
        <w:pStyle w:val="ListParagraph"/>
        <w:numPr>
          <w:ilvl w:val="0"/>
          <w:numId w:val="58"/>
        </w:numPr>
        <w:rPr>
          <w:noProof/>
        </w:rPr>
      </w:pPr>
      <w:r w:rsidRPr="00E13344">
        <w:rPr>
          <w:noProof/>
        </w:rPr>
        <w:t>Ibabe I, Bentler PM. The contribution of family relationships to child-to-parent violence. Journal of family violence. 2016;31:259-69.</w:t>
      </w:r>
    </w:p>
    <w:p w14:paraId="5E89340F" w14:textId="77777777" w:rsidR="004144B4" w:rsidRPr="00E13344" w:rsidRDefault="004144B4" w:rsidP="000B4296">
      <w:pPr>
        <w:pStyle w:val="ListParagraph"/>
        <w:numPr>
          <w:ilvl w:val="0"/>
          <w:numId w:val="58"/>
        </w:numPr>
        <w:rPr>
          <w:noProof/>
        </w:rPr>
      </w:pPr>
      <w:r w:rsidRPr="00E13344">
        <w:rPr>
          <w:noProof/>
        </w:rPr>
        <w:t>Douglas H, Walsh T. Adolescent Family Violence: What is the Role for Legal Responses? The Sydney law review. 2018;40:499-526.</w:t>
      </w:r>
    </w:p>
    <w:p w14:paraId="509F0694" w14:textId="02634C21" w:rsidR="004144B4" w:rsidRPr="00E13344" w:rsidRDefault="004144B4" w:rsidP="000B4296">
      <w:pPr>
        <w:pStyle w:val="ListParagraph"/>
        <w:numPr>
          <w:ilvl w:val="0"/>
          <w:numId w:val="58"/>
        </w:numPr>
        <w:rPr>
          <w:noProof/>
        </w:rPr>
      </w:pPr>
      <w:r w:rsidRPr="00E13344">
        <w:rPr>
          <w:noProof/>
        </w:rPr>
        <w:t xml:space="preserve">Sutherland G, Rangi M, King T, Llewellyn G, Kavanagh A, Vaughan C. Toward a socio-ecological understanding of adolescent violence in the home by young people with disability: A conceptual review (Research report, 08/2022). </w:t>
      </w:r>
      <w:hyperlink r:id="rId23" w:history="1">
        <w:r w:rsidRPr="00D7344F">
          <w:rPr>
            <w:rStyle w:val="Hyperlink"/>
            <w:rFonts w:ascii="Arial" w:hAnsi="Arial"/>
          </w:rPr>
          <w:t>https://anrowsdev.wpenginepowered.com/wp-content/uploads/2022/05/Sutherland-RR1_Socio-ecological-ustanding-of-AVITH-disability.pdf</w:t>
        </w:r>
      </w:hyperlink>
      <w:r w:rsidRPr="00E13344">
        <w:rPr>
          <w:noProof/>
        </w:rPr>
        <w:t>; 2022.</w:t>
      </w:r>
    </w:p>
    <w:p w14:paraId="7FCC4184" w14:textId="77777777" w:rsidR="004144B4" w:rsidRPr="00E13344" w:rsidRDefault="004144B4" w:rsidP="000B4296">
      <w:pPr>
        <w:pStyle w:val="ListParagraph"/>
        <w:numPr>
          <w:ilvl w:val="0"/>
          <w:numId w:val="58"/>
        </w:numPr>
        <w:rPr>
          <w:noProof/>
        </w:rPr>
      </w:pPr>
      <w:r w:rsidRPr="00E13344">
        <w:rPr>
          <w:noProof/>
        </w:rPr>
        <w:t>Rico E, Rosado J, Cantón-Cortés D. Impulsiveness and Child-to-Parent Violence: The Role of Aggressor's Sex. Span J Psychol. 2017;20:E15.</w:t>
      </w:r>
    </w:p>
    <w:p w14:paraId="59FA586B" w14:textId="45CDD5BE" w:rsidR="004144B4" w:rsidRPr="00E13344" w:rsidRDefault="004144B4" w:rsidP="000B4296">
      <w:pPr>
        <w:pStyle w:val="ListParagraph"/>
        <w:numPr>
          <w:ilvl w:val="0"/>
          <w:numId w:val="58"/>
        </w:numPr>
        <w:rPr>
          <w:noProof/>
        </w:rPr>
      </w:pPr>
      <w:r w:rsidRPr="00E13344">
        <w:rPr>
          <w:noProof/>
        </w:rPr>
        <w:t xml:space="preserve">Australian Human Rights Commission. A Future Without Violence: Quality, safeguarding and oversight to prevent and address violence against people with disability in institutional settings. </w:t>
      </w:r>
      <w:hyperlink r:id="rId24" w:history="1">
        <w:r w:rsidRPr="00D7344F">
          <w:rPr>
            <w:rStyle w:val="Hyperlink"/>
            <w:rFonts w:ascii="Arial" w:hAnsi="Arial"/>
          </w:rPr>
          <w:t>https://humanrights.gov.au/our-work/disability-rights/publications/future-without-violence-2018</w:t>
        </w:r>
      </w:hyperlink>
      <w:r w:rsidRPr="00E13344">
        <w:rPr>
          <w:noProof/>
        </w:rPr>
        <w:t>; 2018.</w:t>
      </w:r>
    </w:p>
    <w:p w14:paraId="741ED743" w14:textId="77777777" w:rsidR="004144B4" w:rsidRPr="00E13344" w:rsidRDefault="004144B4" w:rsidP="000B4296">
      <w:pPr>
        <w:pStyle w:val="ListParagraph"/>
        <w:numPr>
          <w:ilvl w:val="0"/>
          <w:numId w:val="58"/>
        </w:numPr>
        <w:rPr>
          <w:noProof/>
        </w:rPr>
      </w:pPr>
      <w:r w:rsidRPr="00E13344">
        <w:rPr>
          <w:noProof/>
        </w:rPr>
        <w:t>Amos N, Hill A, Donovan C, Carman M, Parsons M, McNair R, Lyons A, Bourne A. Family Violence Within LGBTQ Communities in Australia: Intersectional Experiences and Associations with Mental Health Outcomes. Sexuality Research and Social Policy. 2023.</w:t>
      </w:r>
    </w:p>
    <w:p w14:paraId="5E350FBD" w14:textId="77777777" w:rsidR="004144B4" w:rsidRPr="00E13344" w:rsidRDefault="004144B4" w:rsidP="000B4296">
      <w:pPr>
        <w:pStyle w:val="ListParagraph"/>
        <w:numPr>
          <w:ilvl w:val="0"/>
          <w:numId w:val="58"/>
        </w:numPr>
        <w:rPr>
          <w:noProof/>
        </w:rPr>
      </w:pPr>
      <w:r w:rsidRPr="00E13344">
        <w:rPr>
          <w:noProof/>
        </w:rPr>
        <w:t>Armstrong GS, Cain CM, Wylie LE, Muftić LR, Bouffard LA. Risk factor profile of youth incarcerated for child to parent violence: A nationally representative sample. Journal of Criminal Justice. 2018;58:1-9.</w:t>
      </w:r>
    </w:p>
    <w:p w14:paraId="34A99CCE" w14:textId="77777777" w:rsidR="004144B4" w:rsidRPr="00E13344" w:rsidRDefault="004144B4" w:rsidP="000B4296">
      <w:pPr>
        <w:pStyle w:val="ListParagraph"/>
        <w:numPr>
          <w:ilvl w:val="0"/>
          <w:numId w:val="58"/>
        </w:numPr>
        <w:rPr>
          <w:noProof/>
        </w:rPr>
      </w:pPr>
      <w:r w:rsidRPr="00E13344">
        <w:rPr>
          <w:noProof/>
        </w:rPr>
        <w:t>Contreras L, Cano MdC. Child-to-parent violence: The role of exposure to violence and its relationship to social-cognitive processing. The European Journal of Psychology Applied to Legal Context. 2016;8(2):43-50.</w:t>
      </w:r>
    </w:p>
    <w:p w14:paraId="69F147D3" w14:textId="4D5A5B09" w:rsidR="004144B4" w:rsidRPr="00E13344" w:rsidRDefault="004144B4" w:rsidP="000B4296">
      <w:pPr>
        <w:pStyle w:val="ListParagraph"/>
        <w:numPr>
          <w:ilvl w:val="0"/>
          <w:numId w:val="58"/>
        </w:numPr>
        <w:rPr>
          <w:noProof/>
        </w:rPr>
      </w:pPr>
      <w:r w:rsidRPr="00E13344">
        <w:rPr>
          <w:noProof/>
        </w:rPr>
        <w:lastRenderedPageBreak/>
        <w:t xml:space="preserve">Elliot K, McGowan J, Benier K, Maher J, Fitz-Gibbon K. Investigating Adolescent Family Violence: Background, Research and Directions: Context report. </w:t>
      </w:r>
      <w:hyperlink r:id="rId25" w:history="1">
        <w:r w:rsidRPr="00D7344F">
          <w:rPr>
            <w:rStyle w:val="Hyperlink"/>
            <w:rFonts w:ascii="Arial" w:hAnsi="Arial"/>
          </w:rPr>
          <w:t>https://arts.monash.edu/__data/assets/pdf_file/0007/1532275/investigating-adolescent-family-violence-background-research-and-directions.pdf</w:t>
        </w:r>
      </w:hyperlink>
      <w:r w:rsidRPr="00E13344">
        <w:rPr>
          <w:noProof/>
        </w:rPr>
        <w:t>: Focus Program on Gender and Family Violence: New Frameworks in Prevention, Monash University; 2017.</w:t>
      </w:r>
    </w:p>
    <w:p w14:paraId="685D644F" w14:textId="77777777" w:rsidR="004144B4" w:rsidRPr="00E13344" w:rsidRDefault="004144B4" w:rsidP="000B4296">
      <w:pPr>
        <w:pStyle w:val="ListParagraph"/>
        <w:numPr>
          <w:ilvl w:val="0"/>
          <w:numId w:val="58"/>
        </w:numPr>
        <w:rPr>
          <w:noProof/>
        </w:rPr>
      </w:pPr>
      <w:r w:rsidRPr="00E13344">
        <w:rPr>
          <w:noProof/>
        </w:rPr>
        <w:t>Holt A. Working with Adolescent Violence and Abuse Towards Parents. Holt A, editor. London: Routledge; 2015. 216 p.</w:t>
      </w:r>
    </w:p>
    <w:p w14:paraId="47273A30" w14:textId="5CD302DA" w:rsidR="00BC10E6" w:rsidRPr="002F2B21" w:rsidRDefault="004144B4" w:rsidP="00BC10E6">
      <w:pPr>
        <w:pStyle w:val="ListParagraph"/>
        <w:numPr>
          <w:ilvl w:val="0"/>
          <w:numId w:val="58"/>
        </w:numPr>
        <w:rPr>
          <w:noProof/>
        </w:rPr>
      </w:pPr>
      <w:r w:rsidRPr="00E13344">
        <w:rPr>
          <w:noProof/>
        </w:rPr>
        <w:t>Holt A, Retford S. Practitioner accounts of responding to parent abuse – a case study in ad hoc delivery, perverse outcomes and a policy silence. Child &amp; Family Social Work. 2013;18(3):365-74.</w:t>
      </w:r>
    </w:p>
    <w:p w14:paraId="68FF99F3" w14:textId="77777777" w:rsidR="002F2B21" w:rsidRDefault="002F2B21" w:rsidP="00F6152B">
      <w:pPr>
        <w:pStyle w:val="Heading2"/>
      </w:pPr>
    </w:p>
    <w:p w14:paraId="1C53704A" w14:textId="77777777" w:rsidR="002F2B21" w:rsidRDefault="002F2B21" w:rsidP="00F6152B">
      <w:pPr>
        <w:pStyle w:val="Heading2"/>
      </w:pPr>
    </w:p>
    <w:p w14:paraId="6620FCB9" w14:textId="77777777" w:rsidR="002F2B21" w:rsidRDefault="002F2B21" w:rsidP="00F6152B">
      <w:pPr>
        <w:pStyle w:val="Heading2"/>
      </w:pPr>
    </w:p>
    <w:p w14:paraId="113BAB3C" w14:textId="77777777" w:rsidR="002F2B21" w:rsidRDefault="002F2B21" w:rsidP="00F6152B">
      <w:pPr>
        <w:pStyle w:val="Heading2"/>
      </w:pPr>
    </w:p>
    <w:p w14:paraId="56118B2F" w14:textId="77777777" w:rsidR="002F2B21" w:rsidRDefault="002F2B21" w:rsidP="00F6152B">
      <w:pPr>
        <w:pStyle w:val="Heading2"/>
      </w:pPr>
    </w:p>
    <w:p w14:paraId="24363C32" w14:textId="77777777" w:rsidR="002F2B21" w:rsidRDefault="002F2B21" w:rsidP="00F6152B">
      <w:pPr>
        <w:pStyle w:val="Heading2"/>
      </w:pPr>
    </w:p>
    <w:p w14:paraId="307C6D67" w14:textId="77777777" w:rsidR="002F2B21" w:rsidRDefault="002F2B21" w:rsidP="00F6152B">
      <w:pPr>
        <w:pStyle w:val="Heading2"/>
      </w:pPr>
    </w:p>
    <w:p w14:paraId="66A8E34E" w14:textId="77777777" w:rsidR="002F2B21" w:rsidRDefault="002F2B21" w:rsidP="00F6152B">
      <w:pPr>
        <w:pStyle w:val="Heading2"/>
      </w:pPr>
    </w:p>
    <w:p w14:paraId="407C9812" w14:textId="77777777" w:rsidR="002F2B21" w:rsidRDefault="002F2B21" w:rsidP="00F6152B">
      <w:pPr>
        <w:pStyle w:val="Heading2"/>
      </w:pPr>
    </w:p>
    <w:p w14:paraId="42332A54" w14:textId="77777777" w:rsidR="002F2B21" w:rsidRDefault="002F2B21" w:rsidP="00F6152B">
      <w:pPr>
        <w:pStyle w:val="Heading2"/>
      </w:pPr>
    </w:p>
    <w:p w14:paraId="4EC76E82" w14:textId="77777777" w:rsidR="002F2B21" w:rsidRDefault="002F2B21" w:rsidP="00F6152B">
      <w:pPr>
        <w:pStyle w:val="Heading2"/>
      </w:pPr>
    </w:p>
    <w:p w14:paraId="0B5159F5" w14:textId="3FEBA937" w:rsidR="00F6152B" w:rsidRDefault="00F6152B" w:rsidP="00F6152B">
      <w:pPr>
        <w:pStyle w:val="Heading2"/>
      </w:pPr>
      <w:r>
        <w:lastRenderedPageBreak/>
        <w:t>Further reading</w:t>
      </w:r>
    </w:p>
    <w:p w14:paraId="4AF4C5A0" w14:textId="77777777" w:rsidR="00F6152B" w:rsidRPr="002B18D8" w:rsidRDefault="00F6152B" w:rsidP="00F6152B">
      <w:pPr>
        <w:rPr>
          <w:rFonts w:asciiTheme="minorHAnsi" w:hAnsiTheme="minorHAnsi" w:cstheme="minorHAnsi"/>
          <w:color w:val="003639" w:themeColor="text2"/>
          <w:szCs w:val="28"/>
        </w:rPr>
      </w:pPr>
      <w:r w:rsidRPr="002B18D8">
        <w:rPr>
          <w:rStyle w:val="apple-tab-span"/>
          <w:rFonts w:asciiTheme="minorHAnsi" w:hAnsiTheme="minorHAnsi" w:cstheme="minorHAnsi"/>
          <w:color w:val="003639" w:themeColor="text2"/>
          <w:szCs w:val="28"/>
        </w:rPr>
        <w:t xml:space="preserve">All resources from Summarising the evidence can be found on the </w:t>
      </w:r>
      <w:hyperlink r:id="rId26" w:history="1">
        <w:r w:rsidRPr="00875AAD">
          <w:rPr>
            <w:rStyle w:val="Hyperlink"/>
            <w:rFonts w:asciiTheme="minorHAnsi" w:hAnsiTheme="minorHAnsi" w:cstheme="minorHAnsi"/>
            <w:szCs w:val="28"/>
          </w:rPr>
          <w:t>project page</w:t>
        </w:r>
      </w:hyperlink>
      <w:r w:rsidRPr="002B18D8">
        <w:rPr>
          <w:rStyle w:val="apple-tab-span"/>
          <w:rFonts w:asciiTheme="minorHAnsi" w:hAnsiTheme="minorHAnsi" w:cstheme="minorHAnsi"/>
          <w:color w:val="003639" w:themeColor="text2"/>
          <w:szCs w:val="28"/>
        </w:rPr>
        <w:t>.</w:t>
      </w:r>
    </w:p>
    <w:p w14:paraId="2B4E58C1" w14:textId="77777777" w:rsidR="00F6152B" w:rsidRDefault="00F6152B" w:rsidP="00F6152B">
      <w:pPr>
        <w:pStyle w:val="Heading3"/>
      </w:pPr>
      <w:r>
        <w:t>Research summaries</w:t>
      </w:r>
    </w:p>
    <w:p w14:paraId="77AF9E7B" w14:textId="77777777" w:rsidR="00F6152B" w:rsidRDefault="00F6152B" w:rsidP="00F6152B">
      <w:pPr>
        <w:pStyle w:val="ListParagraph"/>
        <w:numPr>
          <w:ilvl w:val="0"/>
          <w:numId w:val="68"/>
        </w:numPr>
      </w:pPr>
      <w:r>
        <w:t>Adolescent violence in the home (E Campbell &amp; L Wall)</w:t>
      </w:r>
    </w:p>
    <w:p w14:paraId="275FC1A2" w14:textId="77777777" w:rsidR="00F6152B" w:rsidRDefault="00F6152B" w:rsidP="00F6152B">
      <w:pPr>
        <w:pStyle w:val="ListParagraph"/>
        <w:numPr>
          <w:ilvl w:val="0"/>
          <w:numId w:val="68"/>
        </w:numPr>
      </w:pPr>
      <w:r>
        <w:t>Child maltreatment: a snapshot summary (D Higgins &amp; G Hunt)</w:t>
      </w:r>
    </w:p>
    <w:p w14:paraId="1F941B60" w14:textId="77777777" w:rsidR="00F6152B" w:rsidRDefault="00F6152B" w:rsidP="00F6152B">
      <w:pPr>
        <w:pStyle w:val="ListParagraph"/>
        <w:numPr>
          <w:ilvl w:val="0"/>
          <w:numId w:val="68"/>
        </w:numPr>
      </w:pPr>
      <w:r>
        <w:t>Intimate partner violence perpetrated against women by men (Respect Victoria)</w:t>
      </w:r>
    </w:p>
    <w:p w14:paraId="0FEAFC35" w14:textId="77777777" w:rsidR="00F6152B" w:rsidRDefault="00F6152B" w:rsidP="00F6152B">
      <w:pPr>
        <w:pStyle w:val="ListParagraph"/>
        <w:numPr>
          <w:ilvl w:val="0"/>
          <w:numId w:val="68"/>
        </w:numPr>
      </w:pPr>
      <w:r>
        <w:t>Intimate partner violence perpetrated by women against men (M Salter &amp; D Woodlock)</w:t>
      </w:r>
    </w:p>
    <w:p w14:paraId="44DA37EC" w14:textId="77777777" w:rsidR="00F6152B" w:rsidRDefault="00F6152B" w:rsidP="00F6152B">
      <w:pPr>
        <w:pStyle w:val="ListParagraph"/>
        <w:numPr>
          <w:ilvl w:val="0"/>
          <w:numId w:val="68"/>
        </w:numPr>
      </w:pPr>
      <w:r>
        <w:t>Online violence and harassment perpetrated against women (B Harris)</w:t>
      </w:r>
    </w:p>
    <w:p w14:paraId="02A03B32" w14:textId="77777777" w:rsidR="00F6152B" w:rsidRDefault="00F6152B" w:rsidP="00F6152B">
      <w:pPr>
        <w:pStyle w:val="ListParagraph"/>
        <w:numPr>
          <w:ilvl w:val="0"/>
          <w:numId w:val="68"/>
        </w:numPr>
      </w:pPr>
      <w:r>
        <w:t>Non partner sexual violence (A Quadara)</w:t>
      </w:r>
    </w:p>
    <w:p w14:paraId="580B9433" w14:textId="77777777" w:rsidR="00F6152B" w:rsidRDefault="00F6152B" w:rsidP="00F6152B">
      <w:pPr>
        <w:pStyle w:val="ListParagraph"/>
        <w:numPr>
          <w:ilvl w:val="0"/>
          <w:numId w:val="68"/>
        </w:numPr>
      </w:pPr>
      <w:r>
        <w:t>Sexual harassment occurring in the world of work (S Charlesworth &amp; C Deen)</w:t>
      </w:r>
    </w:p>
    <w:p w14:paraId="4F415AB8" w14:textId="77777777" w:rsidR="00F6152B" w:rsidRDefault="00F6152B" w:rsidP="00F6152B">
      <w:pPr>
        <w:pStyle w:val="ListParagraph"/>
        <w:numPr>
          <w:ilvl w:val="0"/>
          <w:numId w:val="68"/>
        </w:numPr>
      </w:pPr>
      <w:r>
        <w:t>Violence perpetrated against older people by another family member or carer (E Stevens, R Kaspiew &amp; R Carson)</w:t>
      </w:r>
    </w:p>
    <w:p w14:paraId="19422ECC" w14:textId="77777777" w:rsidR="00F6152B" w:rsidRDefault="00F6152B" w:rsidP="00F6152B">
      <w:pPr>
        <w:pStyle w:val="Heading3"/>
      </w:pPr>
      <w:r>
        <w:t>Context briefs</w:t>
      </w:r>
    </w:p>
    <w:p w14:paraId="1B09F572" w14:textId="4A4C5249" w:rsidR="00F6152B" w:rsidRDefault="00F6152B" w:rsidP="00F6152B">
      <w:pPr>
        <w:pStyle w:val="ListParagraph"/>
        <w:numPr>
          <w:ilvl w:val="0"/>
          <w:numId w:val="69"/>
        </w:numPr>
      </w:pPr>
      <w:r>
        <w:t xml:space="preserve">Summarising the evidence: Exploring what we know about drivers of violence against women, family violence and other forms of gendered violence - </w:t>
      </w:r>
      <w:r w:rsidR="0074017A">
        <w:t>Project overview</w:t>
      </w:r>
    </w:p>
    <w:p w14:paraId="6819C5C4" w14:textId="77777777" w:rsidR="00F6152B" w:rsidRDefault="00F6152B" w:rsidP="00F6152B">
      <w:pPr>
        <w:pStyle w:val="ListParagraph"/>
        <w:numPr>
          <w:ilvl w:val="0"/>
          <w:numId w:val="69"/>
        </w:numPr>
      </w:pPr>
      <w:r>
        <w:t>Summarising the evidence: Adolescent violence in the home</w:t>
      </w:r>
    </w:p>
    <w:p w14:paraId="3FC4E89D" w14:textId="77777777" w:rsidR="00F6152B" w:rsidRDefault="00F6152B" w:rsidP="00F6152B">
      <w:pPr>
        <w:pStyle w:val="ListParagraph"/>
        <w:numPr>
          <w:ilvl w:val="0"/>
          <w:numId w:val="69"/>
        </w:numPr>
      </w:pPr>
      <w:r>
        <w:t>Summarising the evidence: Child maltreatment</w:t>
      </w:r>
    </w:p>
    <w:p w14:paraId="001CA4E8" w14:textId="77777777" w:rsidR="00F6152B" w:rsidRDefault="00F6152B" w:rsidP="00F6152B">
      <w:pPr>
        <w:pStyle w:val="ListParagraph"/>
        <w:numPr>
          <w:ilvl w:val="0"/>
          <w:numId w:val="69"/>
        </w:numPr>
      </w:pPr>
      <w:r>
        <w:t>Summarising the evidence: Elder abuse</w:t>
      </w:r>
    </w:p>
    <w:p w14:paraId="65EF11E6" w14:textId="77777777" w:rsidR="00F6152B" w:rsidRDefault="00F6152B" w:rsidP="00F6152B">
      <w:pPr>
        <w:pStyle w:val="ListParagraph"/>
        <w:numPr>
          <w:ilvl w:val="0"/>
          <w:numId w:val="69"/>
        </w:numPr>
      </w:pPr>
      <w:r>
        <w:t>Summarising the evidence: Online harassment and abuse against women</w:t>
      </w:r>
    </w:p>
    <w:p w14:paraId="1F8E988C" w14:textId="77777777" w:rsidR="00F6152B" w:rsidRDefault="00F6152B" w:rsidP="00F6152B">
      <w:pPr>
        <w:pStyle w:val="ListParagraph"/>
        <w:numPr>
          <w:ilvl w:val="0"/>
          <w:numId w:val="69"/>
        </w:numPr>
      </w:pPr>
      <w:r>
        <w:t>Summarising the evidence: Women’s intimate partner violence against men</w:t>
      </w:r>
    </w:p>
    <w:p w14:paraId="3C7EFB9E" w14:textId="77777777" w:rsidR="00F6152B" w:rsidRDefault="00F6152B" w:rsidP="00F6152B">
      <w:pPr>
        <w:pStyle w:val="ListParagraph"/>
        <w:numPr>
          <w:ilvl w:val="0"/>
          <w:numId w:val="69"/>
        </w:numPr>
      </w:pPr>
      <w:r>
        <w:t>Summarising the evidence: Work-related sexual harassment</w:t>
      </w:r>
    </w:p>
    <w:p w14:paraId="6294E65B" w14:textId="77777777" w:rsidR="00837D46" w:rsidRDefault="00837D46" w:rsidP="00837D46">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3225E4F1" w14:textId="238DEDAC" w:rsidR="00F6152B" w:rsidRDefault="00837D46" w:rsidP="00837D46">
      <w:r w:rsidRPr="006D1835">
        <w:t>Campbell E, Wall L, Respect Victoria. Adolescent Violence In The Home. Melbourne: Respect Victoria; 2023.</w:t>
      </w:r>
    </w:p>
    <w:p w14:paraId="72CCC192" w14:textId="77777777" w:rsidR="00F6152B" w:rsidRDefault="00F6152B" w:rsidP="00F6152B">
      <w:pPr>
        <w:pStyle w:val="Heading3"/>
      </w:pPr>
    </w:p>
    <w:p w14:paraId="342AFDF1" w14:textId="77777777" w:rsidR="00F6152B" w:rsidRDefault="00F6152B" w:rsidP="00F6152B">
      <w:pPr>
        <w:pStyle w:val="Heading3"/>
      </w:pPr>
    </w:p>
    <w:p w14:paraId="705CE2C9" w14:textId="77777777" w:rsidR="00F6152B" w:rsidRDefault="00F6152B" w:rsidP="00F6152B">
      <w:pPr>
        <w:pStyle w:val="Heading3"/>
      </w:pPr>
    </w:p>
    <w:p w14:paraId="367529DD" w14:textId="77777777" w:rsidR="00F6152B" w:rsidRDefault="00F6152B" w:rsidP="00F6152B">
      <w:pPr>
        <w:pStyle w:val="Heading3"/>
      </w:pPr>
    </w:p>
    <w:p w14:paraId="47D3CBE4" w14:textId="77777777" w:rsidR="00F6152B" w:rsidRDefault="00F6152B" w:rsidP="00F6152B">
      <w:pPr>
        <w:pStyle w:val="Heading3"/>
      </w:pPr>
    </w:p>
    <w:p w14:paraId="3644399D" w14:textId="77777777" w:rsidR="00837D46" w:rsidRDefault="00837D46" w:rsidP="00F6152B">
      <w:pPr>
        <w:pStyle w:val="Heading3"/>
      </w:pPr>
    </w:p>
    <w:p w14:paraId="2341C40B" w14:textId="77777777" w:rsidR="00F6152B" w:rsidRDefault="00F6152B" w:rsidP="00F6152B">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4CC297F5" wp14:editId="604C658C">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2D0AA826" w14:textId="77777777" w:rsidR="00F6152B" w:rsidRPr="001C0F3B" w:rsidRDefault="00F6152B" w:rsidP="00F6152B">
      <w:pPr>
        <w:pStyle w:val="Heading2"/>
      </w:pPr>
      <w:r>
        <w:t xml:space="preserve">Acknowledgement of Country </w:t>
      </w:r>
    </w:p>
    <w:p w14:paraId="0CE17E98" w14:textId="77777777" w:rsidR="00F6152B" w:rsidRDefault="00F6152B" w:rsidP="00F6152B">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41C236F4" w14:textId="77777777" w:rsidR="00F6152B" w:rsidRDefault="00F6152B" w:rsidP="00F6152B">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52C30F26" w14:textId="77777777" w:rsidR="00F6152B" w:rsidRDefault="00F6152B" w:rsidP="00F6152B">
      <w:pPr>
        <w:pStyle w:val="Heading2"/>
      </w:pPr>
      <w:r>
        <w:t>Victim survivor acknowledgement</w:t>
      </w:r>
    </w:p>
    <w:p w14:paraId="2028FCD9" w14:textId="77777777" w:rsidR="00F6152B" w:rsidRDefault="00F6152B" w:rsidP="00F6152B">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3985600D" w14:textId="77777777" w:rsidR="00F6152B" w:rsidRDefault="00F6152B" w:rsidP="00F6152B"/>
    <w:p w14:paraId="5B36C8EC" w14:textId="77777777" w:rsidR="00F6152B" w:rsidRDefault="00F6152B" w:rsidP="00F6152B"/>
    <w:p w14:paraId="17C8F349" w14:textId="423FB0F8" w:rsidR="00F6152B" w:rsidRPr="008B7FAB" w:rsidRDefault="00F6152B" w:rsidP="00BC10E6">
      <w:pPr>
        <w:rPr>
          <w:rFonts w:asciiTheme="minorHAnsi" w:hAnsiTheme="minorHAnsi" w:cstheme="minorHAnsi"/>
          <w:sz w:val="18"/>
          <w:szCs w:val="18"/>
        </w:rPr>
      </w:pPr>
      <w:r>
        <w:rPr>
          <w:b/>
          <w:noProof/>
        </w:rPr>
        <mc:AlternateContent>
          <mc:Choice Requires="wps">
            <w:drawing>
              <wp:inline distT="0" distB="0" distL="0" distR="0" wp14:anchorId="2074FA01" wp14:editId="42A7BF05">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8"/>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2074FA01"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M6+xJ6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3B53EA5B" w14:textId="77777777" w:rsidR="00F6152B" w:rsidRDefault="00F6152B" w:rsidP="00F6152B">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52209857" wp14:editId="478130F3">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9"/>
                                    <a:stretch>
                                      <a:fillRect/>
                                    </a:stretch>
                                  </pic:blipFill>
                                  <pic:spPr>
                                    <a:xfrm>
                                      <a:off x="0" y="0"/>
                                      <a:ext cx="2988898" cy="711227"/>
                                    </a:xfrm>
                                    <a:prstGeom prst="rect">
                                      <a:avLst/>
                                    </a:prstGeom>
                                  </pic:spPr>
                                </pic:pic>
                              </a:graphicData>
                            </a:graphic>
                          </wp:inline>
                        </w:drawing>
                      </w:r>
                    </w:p>
                    <w:p w14:paraId="1D526DF7" w14:textId="77777777" w:rsidR="00F6152B" w:rsidRDefault="00F6152B" w:rsidP="00F6152B">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7E516C73" w14:textId="77777777" w:rsidR="00F6152B" w:rsidRDefault="00F6152B" w:rsidP="00F6152B">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14BA822C" w14:textId="77777777" w:rsidR="00F6152B" w:rsidRPr="006D4AA3" w:rsidRDefault="00F6152B" w:rsidP="00F6152B">
                      <w:r>
                        <w:t>We are an independent voice, with functions, powers and duties enshrined in legislation.</w:t>
                      </w:r>
                    </w:p>
                  </w:txbxContent>
                </v:textbox>
                <w10:anchorlock/>
              </v:roundrect>
            </w:pict>
          </mc:Fallback>
        </mc:AlternateContent>
      </w:r>
    </w:p>
    <w:sectPr w:rsidR="00F6152B"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2473" w14:textId="77777777" w:rsidR="00D05A7A" w:rsidRDefault="00D05A7A" w:rsidP="002B7883">
      <w:r>
        <w:separator/>
      </w:r>
    </w:p>
    <w:p w14:paraId="14200DBF" w14:textId="77777777" w:rsidR="00D05A7A" w:rsidRDefault="00D05A7A"/>
  </w:endnote>
  <w:endnote w:type="continuationSeparator" w:id="0">
    <w:p w14:paraId="465F009A" w14:textId="77777777" w:rsidR="00D05A7A" w:rsidRDefault="00D05A7A" w:rsidP="002B7883">
      <w:r>
        <w:continuationSeparator/>
      </w:r>
    </w:p>
    <w:p w14:paraId="45A6F042" w14:textId="77777777" w:rsidR="00D05A7A" w:rsidRDefault="00D05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dy)">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FE76" w14:textId="77777777" w:rsidR="009E7213" w:rsidRDefault="009E7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02213C63" w:rsidR="00F04749" w:rsidRDefault="004144B4" w:rsidP="00D83132">
                <w:r w:rsidRPr="004144B4">
                  <w:t xml:space="preserve">Summarising the evidence – </w:t>
                </w:r>
                <w:r w:rsidR="009E7213">
                  <w:t>A</w:t>
                </w:r>
                <w:r w:rsidRPr="004144B4">
                  <w:t>dolescent violence in the home</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4B5D" w14:textId="77777777" w:rsidR="009E7213" w:rsidRDefault="009E7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57ED" w14:textId="77777777" w:rsidR="00D05A7A" w:rsidRDefault="00D05A7A" w:rsidP="002B7883">
      <w:r>
        <w:separator/>
      </w:r>
    </w:p>
    <w:p w14:paraId="5A5C1329" w14:textId="77777777" w:rsidR="00D05A7A" w:rsidRDefault="00D05A7A"/>
  </w:footnote>
  <w:footnote w:type="continuationSeparator" w:id="0">
    <w:p w14:paraId="5E28F70B" w14:textId="77777777" w:rsidR="00D05A7A" w:rsidRDefault="00D05A7A" w:rsidP="002B7883">
      <w:r>
        <w:continuationSeparator/>
      </w:r>
    </w:p>
    <w:p w14:paraId="649A3F41" w14:textId="77777777" w:rsidR="00D05A7A" w:rsidRDefault="00D05A7A"/>
  </w:footnote>
  <w:footnote w:id="1">
    <w:p w14:paraId="1FE15967" w14:textId="6A797BAD" w:rsidR="004144B4" w:rsidRDefault="00405180" w:rsidP="004144B4">
      <w:pPr>
        <w:pStyle w:val="FootnoteText"/>
      </w:pPr>
      <w:r>
        <w:rPr>
          <w:rStyle w:val="FootnoteReference"/>
        </w:rPr>
        <w:t>a</w:t>
      </w:r>
      <w:r w:rsidR="004144B4">
        <w:t xml:space="preserve"> </w:t>
      </w:r>
      <w:r w:rsidR="004144B4" w:rsidRPr="00091055">
        <w:t xml:space="preserve">Throughout this summary, the term </w:t>
      </w:r>
      <w:r w:rsidR="004144B4">
        <w:t>‘</w:t>
      </w:r>
      <w:r w:rsidR="004144B4" w:rsidRPr="00091055">
        <w:t>adult perpetrated harm</w:t>
      </w:r>
      <w:r w:rsidR="004144B4">
        <w:t>’</w:t>
      </w:r>
      <w:r w:rsidR="004144B4" w:rsidRPr="00091055">
        <w:t xml:space="preserve"> recognises children as victims in their own right in the context of men’s intimate partner violence against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F9DE" w14:textId="77777777" w:rsidR="009E7213" w:rsidRDefault="009E7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8B4D" w14:textId="77777777" w:rsidR="009E7213" w:rsidRDefault="009E7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B2AE" w14:textId="77777777" w:rsidR="009E7213" w:rsidRDefault="009E7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1"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2"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32"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34"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56"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58"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59"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1271962">
    <w:abstractNumId w:val="17"/>
  </w:num>
  <w:num w:numId="2" w16cid:durableId="1481380998">
    <w:abstractNumId w:val="33"/>
  </w:num>
  <w:num w:numId="3" w16cid:durableId="2073429845">
    <w:abstractNumId w:val="29"/>
  </w:num>
  <w:num w:numId="4" w16cid:durableId="867914002">
    <w:abstractNumId w:val="55"/>
  </w:num>
  <w:num w:numId="5" w16cid:durableId="914244772">
    <w:abstractNumId w:val="38"/>
  </w:num>
  <w:num w:numId="6" w16cid:durableId="526912594">
    <w:abstractNumId w:val="0"/>
  </w:num>
  <w:num w:numId="7" w16cid:durableId="1157310107">
    <w:abstractNumId w:val="19"/>
  </w:num>
  <w:num w:numId="8" w16cid:durableId="789935952">
    <w:abstractNumId w:val="36"/>
  </w:num>
  <w:num w:numId="9" w16cid:durableId="260989327">
    <w:abstractNumId w:val="16"/>
  </w:num>
  <w:num w:numId="10" w16cid:durableId="102966783">
    <w:abstractNumId w:val="20"/>
  </w:num>
  <w:num w:numId="11" w16cid:durableId="1952322154">
    <w:abstractNumId w:val="11"/>
  </w:num>
  <w:num w:numId="12" w16cid:durableId="1948582572">
    <w:abstractNumId w:val="27"/>
  </w:num>
  <w:num w:numId="13" w16cid:durableId="476920007">
    <w:abstractNumId w:val="28"/>
  </w:num>
  <w:num w:numId="14" w16cid:durableId="1971814264">
    <w:abstractNumId w:val="42"/>
  </w:num>
  <w:num w:numId="15" w16cid:durableId="2105497072">
    <w:abstractNumId w:val="2"/>
  </w:num>
  <w:num w:numId="16" w16cid:durableId="2013290863">
    <w:abstractNumId w:val="18"/>
  </w:num>
  <w:num w:numId="17" w16cid:durableId="1871214294">
    <w:abstractNumId w:val="40"/>
  </w:num>
  <w:num w:numId="18" w16cid:durableId="582571769">
    <w:abstractNumId w:val="41"/>
  </w:num>
  <w:num w:numId="19" w16cid:durableId="87045628">
    <w:abstractNumId w:val="67"/>
  </w:num>
  <w:num w:numId="20" w16cid:durableId="1255088049">
    <w:abstractNumId w:val="62"/>
  </w:num>
  <w:num w:numId="21" w16cid:durableId="675349026">
    <w:abstractNumId w:val="63"/>
  </w:num>
  <w:num w:numId="22" w16cid:durableId="343823591">
    <w:abstractNumId w:val="25"/>
  </w:num>
  <w:num w:numId="23" w16cid:durableId="1527407625">
    <w:abstractNumId w:val="64"/>
  </w:num>
  <w:num w:numId="24" w16cid:durableId="1531719898">
    <w:abstractNumId w:val="12"/>
  </w:num>
  <w:num w:numId="25" w16cid:durableId="1140539399">
    <w:abstractNumId w:val="1"/>
  </w:num>
  <w:num w:numId="26" w16cid:durableId="1498765475">
    <w:abstractNumId w:val="59"/>
  </w:num>
  <w:num w:numId="27" w16cid:durableId="49234881">
    <w:abstractNumId w:val="23"/>
  </w:num>
  <w:num w:numId="28" w16cid:durableId="241764143">
    <w:abstractNumId w:val="30"/>
  </w:num>
  <w:num w:numId="29" w16cid:durableId="512258842">
    <w:abstractNumId w:val="49"/>
  </w:num>
  <w:num w:numId="30" w16cid:durableId="893009237">
    <w:abstractNumId w:val="52"/>
  </w:num>
  <w:num w:numId="31" w16cid:durableId="172383324">
    <w:abstractNumId w:val="7"/>
  </w:num>
  <w:num w:numId="32" w16cid:durableId="1636911413">
    <w:abstractNumId w:val="32"/>
  </w:num>
  <w:num w:numId="33" w16cid:durableId="208735195">
    <w:abstractNumId w:val="65"/>
  </w:num>
  <w:num w:numId="34" w16cid:durableId="1877348274">
    <w:abstractNumId w:val="45"/>
  </w:num>
  <w:num w:numId="35" w16cid:durableId="191000540">
    <w:abstractNumId w:val="34"/>
  </w:num>
  <w:num w:numId="36" w16cid:durableId="2017264926">
    <w:abstractNumId w:val="50"/>
  </w:num>
  <w:num w:numId="37" w16cid:durableId="86584610">
    <w:abstractNumId w:val="53"/>
  </w:num>
  <w:num w:numId="38" w16cid:durableId="863515313">
    <w:abstractNumId w:val="35"/>
  </w:num>
  <w:num w:numId="39" w16cid:durableId="360670026">
    <w:abstractNumId w:val="39"/>
  </w:num>
  <w:num w:numId="40" w16cid:durableId="1789854579">
    <w:abstractNumId w:val="24"/>
  </w:num>
  <w:num w:numId="41" w16cid:durableId="126362175">
    <w:abstractNumId w:val="4"/>
  </w:num>
  <w:num w:numId="42" w16cid:durableId="259215056">
    <w:abstractNumId w:val="8"/>
  </w:num>
  <w:num w:numId="43" w16cid:durableId="1666395211">
    <w:abstractNumId w:val="54"/>
  </w:num>
  <w:num w:numId="44" w16cid:durableId="864245401">
    <w:abstractNumId w:val="22"/>
  </w:num>
  <w:num w:numId="45" w16cid:durableId="1071579377">
    <w:abstractNumId w:val="9"/>
  </w:num>
  <w:num w:numId="46" w16cid:durableId="2135251649">
    <w:abstractNumId w:val="5"/>
  </w:num>
  <w:num w:numId="47" w16cid:durableId="886332501">
    <w:abstractNumId w:val="61"/>
  </w:num>
  <w:num w:numId="48" w16cid:durableId="304893534">
    <w:abstractNumId w:val="14"/>
  </w:num>
  <w:num w:numId="49" w16cid:durableId="1743797270">
    <w:abstractNumId w:val="26"/>
  </w:num>
  <w:num w:numId="50" w16cid:durableId="2112314002">
    <w:abstractNumId w:val="13"/>
  </w:num>
  <w:num w:numId="51" w16cid:durableId="2123183660">
    <w:abstractNumId w:val="44"/>
  </w:num>
  <w:num w:numId="52" w16cid:durableId="191191284">
    <w:abstractNumId w:val="51"/>
  </w:num>
  <w:num w:numId="53" w16cid:durableId="1459569052">
    <w:abstractNumId w:val="37"/>
  </w:num>
  <w:num w:numId="54" w16cid:durableId="203058416">
    <w:abstractNumId w:val="66"/>
  </w:num>
  <w:num w:numId="55" w16cid:durableId="1953440539">
    <w:abstractNumId w:val="21"/>
  </w:num>
  <w:num w:numId="56" w16cid:durableId="91242832">
    <w:abstractNumId w:val="47"/>
  </w:num>
  <w:num w:numId="57" w16cid:durableId="1768649661">
    <w:abstractNumId w:val="60"/>
  </w:num>
  <w:num w:numId="58" w16cid:durableId="1366785444">
    <w:abstractNumId w:val="43"/>
  </w:num>
  <w:num w:numId="59" w16cid:durableId="281304521">
    <w:abstractNumId w:val="46"/>
  </w:num>
  <w:num w:numId="60" w16cid:durableId="901981696">
    <w:abstractNumId w:val="48"/>
  </w:num>
  <w:num w:numId="61" w16cid:durableId="367067608">
    <w:abstractNumId w:val="68"/>
  </w:num>
  <w:num w:numId="62" w16cid:durableId="1952470059">
    <w:abstractNumId w:val="3"/>
  </w:num>
  <w:num w:numId="63" w16cid:durableId="793253488">
    <w:abstractNumId w:val="6"/>
  </w:num>
  <w:num w:numId="64" w16cid:durableId="584530676">
    <w:abstractNumId w:val="31"/>
  </w:num>
  <w:num w:numId="65" w16cid:durableId="86124088">
    <w:abstractNumId w:val="10"/>
  </w:num>
  <w:num w:numId="66" w16cid:durableId="240481680">
    <w:abstractNumId w:val="58"/>
  </w:num>
  <w:num w:numId="67" w16cid:durableId="750272225">
    <w:abstractNumId w:val="57"/>
  </w:num>
  <w:num w:numId="68" w16cid:durableId="1335721149">
    <w:abstractNumId w:val="15"/>
  </w:num>
  <w:num w:numId="69" w16cid:durableId="427700339">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8F4"/>
    <w:rsid w:val="0003756B"/>
    <w:rsid w:val="000450A2"/>
    <w:rsid w:val="00047B73"/>
    <w:rsid w:val="000603AB"/>
    <w:rsid w:val="0006296B"/>
    <w:rsid w:val="00063E4B"/>
    <w:rsid w:val="00076E46"/>
    <w:rsid w:val="00094CC2"/>
    <w:rsid w:val="0009756C"/>
    <w:rsid w:val="000A2C89"/>
    <w:rsid w:val="000A4961"/>
    <w:rsid w:val="000B4296"/>
    <w:rsid w:val="000D1252"/>
    <w:rsid w:val="000D272D"/>
    <w:rsid w:val="000D2A51"/>
    <w:rsid w:val="000E17D0"/>
    <w:rsid w:val="000F3667"/>
    <w:rsid w:val="000F7FCD"/>
    <w:rsid w:val="0011185A"/>
    <w:rsid w:val="00112B36"/>
    <w:rsid w:val="00123D7A"/>
    <w:rsid w:val="001250CB"/>
    <w:rsid w:val="0012516F"/>
    <w:rsid w:val="0014682D"/>
    <w:rsid w:val="00147E41"/>
    <w:rsid w:val="001654F2"/>
    <w:rsid w:val="0017049A"/>
    <w:rsid w:val="001763D5"/>
    <w:rsid w:val="00180C01"/>
    <w:rsid w:val="0018431A"/>
    <w:rsid w:val="00193FB2"/>
    <w:rsid w:val="00194480"/>
    <w:rsid w:val="001A409B"/>
    <w:rsid w:val="001B2B8E"/>
    <w:rsid w:val="001B5BDD"/>
    <w:rsid w:val="001D1FA9"/>
    <w:rsid w:val="001D5ACB"/>
    <w:rsid w:val="001D730A"/>
    <w:rsid w:val="001E761A"/>
    <w:rsid w:val="00202681"/>
    <w:rsid w:val="00204475"/>
    <w:rsid w:val="00207778"/>
    <w:rsid w:val="00217FB8"/>
    <w:rsid w:val="00232655"/>
    <w:rsid w:val="00236097"/>
    <w:rsid w:val="002401CB"/>
    <w:rsid w:val="00242B5C"/>
    <w:rsid w:val="00245A36"/>
    <w:rsid w:val="00253AB5"/>
    <w:rsid w:val="00253C94"/>
    <w:rsid w:val="002603A9"/>
    <w:rsid w:val="002629E4"/>
    <w:rsid w:val="00267F39"/>
    <w:rsid w:val="002742FD"/>
    <w:rsid w:val="002748EB"/>
    <w:rsid w:val="002814F7"/>
    <w:rsid w:val="00282114"/>
    <w:rsid w:val="0029107A"/>
    <w:rsid w:val="002A314C"/>
    <w:rsid w:val="002B1683"/>
    <w:rsid w:val="002B18D8"/>
    <w:rsid w:val="002B7883"/>
    <w:rsid w:val="002D6410"/>
    <w:rsid w:val="002E09ED"/>
    <w:rsid w:val="002E1E6F"/>
    <w:rsid w:val="002E1EBB"/>
    <w:rsid w:val="002F0FCF"/>
    <w:rsid w:val="002F2B21"/>
    <w:rsid w:val="003009D2"/>
    <w:rsid w:val="00303204"/>
    <w:rsid w:val="003045D6"/>
    <w:rsid w:val="00304B67"/>
    <w:rsid w:val="00313B6B"/>
    <w:rsid w:val="00322E4C"/>
    <w:rsid w:val="00337F3E"/>
    <w:rsid w:val="003443BE"/>
    <w:rsid w:val="00346F00"/>
    <w:rsid w:val="00351CFC"/>
    <w:rsid w:val="00374953"/>
    <w:rsid w:val="0037663F"/>
    <w:rsid w:val="0038102A"/>
    <w:rsid w:val="00382806"/>
    <w:rsid w:val="0038475E"/>
    <w:rsid w:val="0039122A"/>
    <w:rsid w:val="003A5AB1"/>
    <w:rsid w:val="003A6424"/>
    <w:rsid w:val="003B1873"/>
    <w:rsid w:val="003B3762"/>
    <w:rsid w:val="003B4C64"/>
    <w:rsid w:val="003B677A"/>
    <w:rsid w:val="003C1296"/>
    <w:rsid w:val="003C7753"/>
    <w:rsid w:val="003D3093"/>
    <w:rsid w:val="003E48D4"/>
    <w:rsid w:val="003F38AD"/>
    <w:rsid w:val="003F7E73"/>
    <w:rsid w:val="00401003"/>
    <w:rsid w:val="00405180"/>
    <w:rsid w:val="00410413"/>
    <w:rsid w:val="0041387B"/>
    <w:rsid w:val="004144B4"/>
    <w:rsid w:val="00424434"/>
    <w:rsid w:val="004362BD"/>
    <w:rsid w:val="00444440"/>
    <w:rsid w:val="00447F8F"/>
    <w:rsid w:val="00454BB6"/>
    <w:rsid w:val="00454F93"/>
    <w:rsid w:val="00457A11"/>
    <w:rsid w:val="00460661"/>
    <w:rsid w:val="004628D9"/>
    <w:rsid w:val="00483E2F"/>
    <w:rsid w:val="00490857"/>
    <w:rsid w:val="004908C6"/>
    <w:rsid w:val="00494224"/>
    <w:rsid w:val="004951D8"/>
    <w:rsid w:val="00495E31"/>
    <w:rsid w:val="004A27C5"/>
    <w:rsid w:val="004A419C"/>
    <w:rsid w:val="004B1F13"/>
    <w:rsid w:val="004B72B4"/>
    <w:rsid w:val="004B79EA"/>
    <w:rsid w:val="004C157D"/>
    <w:rsid w:val="004D7DC5"/>
    <w:rsid w:val="004E65BA"/>
    <w:rsid w:val="00505CAA"/>
    <w:rsid w:val="005145DD"/>
    <w:rsid w:val="005204FB"/>
    <w:rsid w:val="005311B7"/>
    <w:rsid w:val="00531AB1"/>
    <w:rsid w:val="00535CB4"/>
    <w:rsid w:val="00573297"/>
    <w:rsid w:val="00574EB7"/>
    <w:rsid w:val="00575FE5"/>
    <w:rsid w:val="00583294"/>
    <w:rsid w:val="00584AF4"/>
    <w:rsid w:val="00584D4C"/>
    <w:rsid w:val="00587B6B"/>
    <w:rsid w:val="00595B27"/>
    <w:rsid w:val="005A1C16"/>
    <w:rsid w:val="005A2BC2"/>
    <w:rsid w:val="005A3B23"/>
    <w:rsid w:val="005B78D1"/>
    <w:rsid w:val="005C22D7"/>
    <w:rsid w:val="005D6A94"/>
    <w:rsid w:val="005E397C"/>
    <w:rsid w:val="005E7DA8"/>
    <w:rsid w:val="005F024C"/>
    <w:rsid w:val="00604432"/>
    <w:rsid w:val="00604EB2"/>
    <w:rsid w:val="006143C4"/>
    <w:rsid w:val="00625561"/>
    <w:rsid w:val="006378B4"/>
    <w:rsid w:val="006509A2"/>
    <w:rsid w:val="00654100"/>
    <w:rsid w:val="00661B0C"/>
    <w:rsid w:val="006711AA"/>
    <w:rsid w:val="00671A02"/>
    <w:rsid w:val="006775FA"/>
    <w:rsid w:val="00677ED1"/>
    <w:rsid w:val="006B710A"/>
    <w:rsid w:val="006C424A"/>
    <w:rsid w:val="006C4963"/>
    <w:rsid w:val="006C4A43"/>
    <w:rsid w:val="006D5D7F"/>
    <w:rsid w:val="00704EB2"/>
    <w:rsid w:val="00710667"/>
    <w:rsid w:val="00717E1E"/>
    <w:rsid w:val="00721EBC"/>
    <w:rsid w:val="00733A33"/>
    <w:rsid w:val="00733CD3"/>
    <w:rsid w:val="0074017A"/>
    <w:rsid w:val="007420B6"/>
    <w:rsid w:val="00760F5E"/>
    <w:rsid w:val="0076309A"/>
    <w:rsid w:val="0076321D"/>
    <w:rsid w:val="00784AB4"/>
    <w:rsid w:val="007A6177"/>
    <w:rsid w:val="007C63F9"/>
    <w:rsid w:val="007E0C8C"/>
    <w:rsid w:val="00807EBF"/>
    <w:rsid w:val="008103A2"/>
    <w:rsid w:val="00812CAC"/>
    <w:rsid w:val="00815044"/>
    <w:rsid w:val="0081729B"/>
    <w:rsid w:val="00832844"/>
    <w:rsid w:val="00835A65"/>
    <w:rsid w:val="008360D5"/>
    <w:rsid w:val="00837D46"/>
    <w:rsid w:val="0084363C"/>
    <w:rsid w:val="0084538A"/>
    <w:rsid w:val="00872031"/>
    <w:rsid w:val="00872066"/>
    <w:rsid w:val="00890FB7"/>
    <w:rsid w:val="008B018B"/>
    <w:rsid w:val="008C39A7"/>
    <w:rsid w:val="008C53D9"/>
    <w:rsid w:val="008C6974"/>
    <w:rsid w:val="008D00A7"/>
    <w:rsid w:val="008D3AC0"/>
    <w:rsid w:val="008D4AEF"/>
    <w:rsid w:val="008E7E18"/>
    <w:rsid w:val="008F4301"/>
    <w:rsid w:val="008F462D"/>
    <w:rsid w:val="00907489"/>
    <w:rsid w:val="009125AF"/>
    <w:rsid w:val="009154A9"/>
    <w:rsid w:val="00924AD3"/>
    <w:rsid w:val="00933FDE"/>
    <w:rsid w:val="00943924"/>
    <w:rsid w:val="009465A6"/>
    <w:rsid w:val="009508D4"/>
    <w:rsid w:val="009560F2"/>
    <w:rsid w:val="00961C9B"/>
    <w:rsid w:val="00970828"/>
    <w:rsid w:val="0097623F"/>
    <w:rsid w:val="009805BE"/>
    <w:rsid w:val="009869A1"/>
    <w:rsid w:val="009A09B9"/>
    <w:rsid w:val="009C2F54"/>
    <w:rsid w:val="009C2F6E"/>
    <w:rsid w:val="009D0CF1"/>
    <w:rsid w:val="009D1D5B"/>
    <w:rsid w:val="009D48C2"/>
    <w:rsid w:val="009D7FAD"/>
    <w:rsid w:val="009E076B"/>
    <w:rsid w:val="009E3FA6"/>
    <w:rsid w:val="009E7213"/>
    <w:rsid w:val="009E7B62"/>
    <w:rsid w:val="009F03ED"/>
    <w:rsid w:val="009F1366"/>
    <w:rsid w:val="009F4937"/>
    <w:rsid w:val="009F54D3"/>
    <w:rsid w:val="009F5CB3"/>
    <w:rsid w:val="009F5E0E"/>
    <w:rsid w:val="00A00662"/>
    <w:rsid w:val="00A066E1"/>
    <w:rsid w:val="00A071BF"/>
    <w:rsid w:val="00A138A4"/>
    <w:rsid w:val="00A30490"/>
    <w:rsid w:val="00A409F9"/>
    <w:rsid w:val="00A61AB9"/>
    <w:rsid w:val="00A640EC"/>
    <w:rsid w:val="00A927E8"/>
    <w:rsid w:val="00A9422D"/>
    <w:rsid w:val="00A97CA6"/>
    <w:rsid w:val="00AB0BAB"/>
    <w:rsid w:val="00AB5AC3"/>
    <w:rsid w:val="00AB7ACC"/>
    <w:rsid w:val="00AD2AE1"/>
    <w:rsid w:val="00AE547D"/>
    <w:rsid w:val="00B06239"/>
    <w:rsid w:val="00B12614"/>
    <w:rsid w:val="00B14E0C"/>
    <w:rsid w:val="00B160B4"/>
    <w:rsid w:val="00B172DD"/>
    <w:rsid w:val="00B17DFC"/>
    <w:rsid w:val="00B20479"/>
    <w:rsid w:val="00B27D9E"/>
    <w:rsid w:val="00B32B25"/>
    <w:rsid w:val="00B35920"/>
    <w:rsid w:val="00B42C5C"/>
    <w:rsid w:val="00B64510"/>
    <w:rsid w:val="00B71E64"/>
    <w:rsid w:val="00B919CB"/>
    <w:rsid w:val="00BA4464"/>
    <w:rsid w:val="00BB0065"/>
    <w:rsid w:val="00BB2FC2"/>
    <w:rsid w:val="00BB4227"/>
    <w:rsid w:val="00BC10E6"/>
    <w:rsid w:val="00BD04CF"/>
    <w:rsid w:val="00BD1EA1"/>
    <w:rsid w:val="00BD43DE"/>
    <w:rsid w:val="00C032AA"/>
    <w:rsid w:val="00C14AE7"/>
    <w:rsid w:val="00C259ED"/>
    <w:rsid w:val="00C3006C"/>
    <w:rsid w:val="00C449E6"/>
    <w:rsid w:val="00C479D0"/>
    <w:rsid w:val="00C5149C"/>
    <w:rsid w:val="00C51D4B"/>
    <w:rsid w:val="00C55741"/>
    <w:rsid w:val="00C73A29"/>
    <w:rsid w:val="00C75F88"/>
    <w:rsid w:val="00C97561"/>
    <w:rsid w:val="00CA1A60"/>
    <w:rsid w:val="00CB411C"/>
    <w:rsid w:val="00CB5497"/>
    <w:rsid w:val="00CC4E5F"/>
    <w:rsid w:val="00CE2F77"/>
    <w:rsid w:val="00CF4002"/>
    <w:rsid w:val="00CF574D"/>
    <w:rsid w:val="00D039A9"/>
    <w:rsid w:val="00D05A7A"/>
    <w:rsid w:val="00D0724A"/>
    <w:rsid w:val="00D075B4"/>
    <w:rsid w:val="00D0774F"/>
    <w:rsid w:val="00D17A9D"/>
    <w:rsid w:val="00D33AC6"/>
    <w:rsid w:val="00D36D34"/>
    <w:rsid w:val="00D51E01"/>
    <w:rsid w:val="00D7344F"/>
    <w:rsid w:val="00D818CB"/>
    <w:rsid w:val="00D83132"/>
    <w:rsid w:val="00D94744"/>
    <w:rsid w:val="00DA3F32"/>
    <w:rsid w:val="00DC550F"/>
    <w:rsid w:val="00DE2F56"/>
    <w:rsid w:val="00DE474E"/>
    <w:rsid w:val="00DE54F8"/>
    <w:rsid w:val="00DF11B2"/>
    <w:rsid w:val="00DF5078"/>
    <w:rsid w:val="00E21BFB"/>
    <w:rsid w:val="00E2347B"/>
    <w:rsid w:val="00E24400"/>
    <w:rsid w:val="00E30A31"/>
    <w:rsid w:val="00E3168F"/>
    <w:rsid w:val="00E34C52"/>
    <w:rsid w:val="00E34C58"/>
    <w:rsid w:val="00E47653"/>
    <w:rsid w:val="00E51A27"/>
    <w:rsid w:val="00E61E84"/>
    <w:rsid w:val="00E627D5"/>
    <w:rsid w:val="00E63AAF"/>
    <w:rsid w:val="00E66133"/>
    <w:rsid w:val="00E75182"/>
    <w:rsid w:val="00E83689"/>
    <w:rsid w:val="00E90B22"/>
    <w:rsid w:val="00E97906"/>
    <w:rsid w:val="00E97F24"/>
    <w:rsid w:val="00EA095D"/>
    <w:rsid w:val="00EC03C2"/>
    <w:rsid w:val="00EC1C46"/>
    <w:rsid w:val="00ED17A0"/>
    <w:rsid w:val="00EF2858"/>
    <w:rsid w:val="00F045AE"/>
    <w:rsid w:val="00F04749"/>
    <w:rsid w:val="00F04B05"/>
    <w:rsid w:val="00F34A67"/>
    <w:rsid w:val="00F4155D"/>
    <w:rsid w:val="00F44C9A"/>
    <w:rsid w:val="00F462B2"/>
    <w:rsid w:val="00F55463"/>
    <w:rsid w:val="00F6152B"/>
    <w:rsid w:val="00F61F79"/>
    <w:rsid w:val="00F667CA"/>
    <w:rsid w:val="00F6681B"/>
    <w:rsid w:val="00F712BF"/>
    <w:rsid w:val="00F74EF7"/>
    <w:rsid w:val="00F765DB"/>
    <w:rsid w:val="00F80FAB"/>
    <w:rsid w:val="00F90B8B"/>
    <w:rsid w:val="00F9124E"/>
    <w:rsid w:val="00F932C5"/>
    <w:rsid w:val="00FA03A9"/>
    <w:rsid w:val="00FA3A09"/>
    <w:rsid w:val="00FB04C8"/>
    <w:rsid w:val="00FB1D51"/>
    <w:rsid w:val="00FB34A5"/>
    <w:rsid w:val="00FC0692"/>
    <w:rsid w:val="00FD3A54"/>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193FB2"/>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iPriority w:val="8"/>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193FB2"/>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E34C58"/>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respectvictoria.vic.gov.au/what-we-know-about-drivers-of-violence" TargetMode="External"/><Relationship Id="rId3" Type="http://schemas.openxmlformats.org/officeDocument/2006/relationships/customXml" Target="../customXml/item3.xml"/><Relationship Id="rId21" Type="http://schemas.openxmlformats.org/officeDocument/2006/relationships/hyperlink" Target="https://anrowsdev.wpenginepowered.com/wp-content/uploads/2022/09/RP.20.03-RR1_FitzGibbon-AFVinAus.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arts.monash.edu/__data/assets/pdf_file/0007/1532275/investigating-adolescent-family-violence-background-research-and-direction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po.org.au/sites/default/files/resource-files/2008-09/apo-nid3995.pdf" TargetMode="External"/><Relationship Id="rId29"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umanrights.gov.au/our-work/disability-rights/publications/future-without-violence-2018"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nrowsdev.wpenginepowered.com/wp-content/uploads/2022/05/Sutherland-RR1_Socio-ecological-ustanding-of-AVITH-disability.pdf"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nrowsdev.wpenginepowered.com/wp-content/uploads/2023/04/RP.20.01-Campbell-RR1-WRAP-AVITH-1.pdf"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28</TotalTime>
  <Pages>12</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24</cp:revision>
  <cp:lastPrinted>2023-12-10T23:18:00Z</cp:lastPrinted>
  <dcterms:created xsi:type="dcterms:W3CDTF">2023-12-10T23:18:00Z</dcterms:created>
  <dcterms:modified xsi:type="dcterms:W3CDTF">2023-12-19T07:04:00Z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