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1D8" w14:textId="77777777" w:rsidR="00D1279B" w:rsidRDefault="00D1279B" w:rsidP="00D1279B">
      <w:pPr>
        <w:pStyle w:val="Title"/>
      </w:pPr>
      <w:r>
        <w:t>Responding to Disclosures and preparing for backlash</w:t>
      </w:r>
    </w:p>
    <w:p w14:paraId="1D9D0071" w14:textId="77777777" w:rsidR="00D1279B" w:rsidRDefault="00D1279B" w:rsidP="00D1279B">
      <w:r>
        <w:t xml:space="preserve">Violence against women can be prevented. This 16 Days of Activism and beyond, let’s change the story. </w:t>
      </w:r>
    </w:p>
    <w:p w14:paraId="092C6D8E" w14:textId="77777777" w:rsidR="00D1279B" w:rsidRDefault="00D1279B">
      <w:pPr>
        <w:spacing w:line="259" w:lineRule="auto"/>
      </w:pPr>
      <w:r>
        <w:br w:type="page"/>
      </w:r>
    </w:p>
    <w:p w14:paraId="4BD3BB91" w14:textId="5903A376" w:rsidR="00D1279B" w:rsidRDefault="00D1279B" w:rsidP="00D1279B">
      <w:pPr>
        <w:pStyle w:val="Heading1"/>
      </w:pPr>
      <w:bookmarkStart w:id="0" w:name="_Toc1609856174"/>
      <w:bookmarkStart w:id="1" w:name="_Toc149241666"/>
      <w:r>
        <w:lastRenderedPageBreak/>
        <w:t>Acknowledgement of Country</w:t>
      </w:r>
      <w:bookmarkEnd w:id="0"/>
      <w:bookmarkEnd w:id="1"/>
    </w:p>
    <w:p w14:paraId="14CF85D7" w14:textId="77777777" w:rsidR="00D1279B" w:rsidRDefault="00D1279B" w:rsidP="00D1279B">
      <w:r>
        <w:t xml:space="preserve">Respect Victoria acknowledges the Aboriginal peoples of Victoria as the First Peoples and Traditional Owners and Custodians of the lands and waterways on which we rely. We proudly acknowledge Aboriginal communities of Victoria and their ongoing strength in practising the world’s oldest living culture. We acknowledge the significant and ongoing impacts of colonisation and commit to working alongside Aboriginal communities to effect change. </w:t>
      </w:r>
    </w:p>
    <w:p w14:paraId="784E4C9D" w14:textId="284FCEF7" w:rsidR="00D1279B" w:rsidRDefault="00D1279B" w:rsidP="00D1279B">
      <w:r>
        <w:t>We recognise the ongoing leadership role of Aboriginal communities in addressing and preventing family violence and violence against women and will continue to work in collaboration with First Peoples to eliminate these forms of violence from all communities.</w:t>
      </w:r>
    </w:p>
    <w:p w14:paraId="18C3B3CC" w14:textId="77777777" w:rsidR="00D1279B" w:rsidRDefault="00D1279B">
      <w:pPr>
        <w:spacing w:line="259" w:lineRule="auto"/>
      </w:pPr>
      <w:r>
        <w:br w:type="page"/>
      </w:r>
    </w:p>
    <w:p w14:paraId="2CEE71F8" w14:textId="77777777" w:rsidR="00D1279B" w:rsidRPr="001212A5" w:rsidRDefault="00D1279B" w:rsidP="00D1279B">
      <w:pPr>
        <w:pStyle w:val="Title"/>
        <w:rPr>
          <w:sz w:val="52"/>
          <w:szCs w:val="52"/>
        </w:rPr>
      </w:pPr>
      <w:bookmarkStart w:id="2" w:name="_Toc149048800"/>
      <w:r w:rsidRPr="001212A5">
        <w:rPr>
          <w:sz w:val="52"/>
          <w:szCs w:val="52"/>
        </w:rPr>
        <w:lastRenderedPageBreak/>
        <w:t>Contents</w:t>
      </w:r>
      <w:bookmarkEnd w:id="2"/>
    </w:p>
    <w:p w14:paraId="6F3B3680" w14:textId="577AF8D1" w:rsidR="00D1279B" w:rsidRDefault="00D1279B">
      <w:pPr>
        <w:pStyle w:val="TOC1"/>
        <w:tabs>
          <w:tab w:val="right" w:leader="dot" w:pos="9016"/>
        </w:tabs>
        <w:rPr>
          <w:noProof/>
        </w:rPr>
      </w:pPr>
      <w:r>
        <w:fldChar w:fldCharType="begin"/>
      </w:r>
      <w:r>
        <w:instrText xml:space="preserve"> TOC \o "1-1" \h \z \u </w:instrText>
      </w:r>
      <w:r>
        <w:fldChar w:fldCharType="separate"/>
      </w:r>
      <w:hyperlink w:anchor="_Toc149241666" w:history="1">
        <w:r w:rsidRPr="005E69DE">
          <w:rPr>
            <w:rStyle w:val="Hyperlink"/>
            <w:noProof/>
          </w:rPr>
          <w:t>Acknowledgement of Country</w:t>
        </w:r>
        <w:r>
          <w:rPr>
            <w:noProof/>
            <w:webHidden/>
          </w:rPr>
          <w:tab/>
        </w:r>
        <w:r>
          <w:rPr>
            <w:noProof/>
            <w:webHidden/>
          </w:rPr>
          <w:fldChar w:fldCharType="begin"/>
        </w:r>
        <w:r>
          <w:rPr>
            <w:noProof/>
            <w:webHidden/>
          </w:rPr>
          <w:instrText xml:space="preserve"> PAGEREF _Toc149241666 \h </w:instrText>
        </w:r>
        <w:r>
          <w:rPr>
            <w:noProof/>
            <w:webHidden/>
          </w:rPr>
        </w:r>
        <w:r>
          <w:rPr>
            <w:noProof/>
            <w:webHidden/>
          </w:rPr>
          <w:fldChar w:fldCharType="separate"/>
        </w:r>
        <w:r>
          <w:rPr>
            <w:noProof/>
            <w:webHidden/>
          </w:rPr>
          <w:t>2</w:t>
        </w:r>
        <w:r>
          <w:rPr>
            <w:noProof/>
            <w:webHidden/>
          </w:rPr>
          <w:fldChar w:fldCharType="end"/>
        </w:r>
      </w:hyperlink>
    </w:p>
    <w:p w14:paraId="4DA6CEE0" w14:textId="5C6FDD50" w:rsidR="00D1279B" w:rsidRDefault="00D1279B">
      <w:pPr>
        <w:pStyle w:val="TOC1"/>
        <w:tabs>
          <w:tab w:val="right" w:leader="dot" w:pos="9016"/>
        </w:tabs>
        <w:rPr>
          <w:noProof/>
        </w:rPr>
      </w:pPr>
      <w:hyperlink w:anchor="_Toc149241667" w:history="1">
        <w:r w:rsidRPr="005E69DE">
          <w:rPr>
            <w:rStyle w:val="Hyperlink"/>
            <w:noProof/>
          </w:rPr>
          <w:t>Responding to disclosures</w:t>
        </w:r>
        <w:r>
          <w:rPr>
            <w:noProof/>
            <w:webHidden/>
          </w:rPr>
          <w:tab/>
        </w:r>
        <w:r>
          <w:rPr>
            <w:noProof/>
            <w:webHidden/>
          </w:rPr>
          <w:fldChar w:fldCharType="begin"/>
        </w:r>
        <w:r>
          <w:rPr>
            <w:noProof/>
            <w:webHidden/>
          </w:rPr>
          <w:instrText xml:space="preserve"> PAGEREF _Toc149241667 \h </w:instrText>
        </w:r>
        <w:r>
          <w:rPr>
            <w:noProof/>
            <w:webHidden/>
          </w:rPr>
        </w:r>
        <w:r>
          <w:rPr>
            <w:noProof/>
            <w:webHidden/>
          </w:rPr>
          <w:fldChar w:fldCharType="separate"/>
        </w:r>
        <w:r>
          <w:rPr>
            <w:noProof/>
            <w:webHidden/>
          </w:rPr>
          <w:t>4</w:t>
        </w:r>
        <w:r>
          <w:rPr>
            <w:noProof/>
            <w:webHidden/>
          </w:rPr>
          <w:fldChar w:fldCharType="end"/>
        </w:r>
      </w:hyperlink>
    </w:p>
    <w:p w14:paraId="135B4351" w14:textId="74B00CEF" w:rsidR="00D1279B" w:rsidRDefault="00D1279B">
      <w:pPr>
        <w:pStyle w:val="TOC1"/>
        <w:tabs>
          <w:tab w:val="right" w:leader="dot" w:pos="9016"/>
        </w:tabs>
        <w:rPr>
          <w:noProof/>
        </w:rPr>
      </w:pPr>
      <w:hyperlink w:anchor="_Toc149241668" w:history="1">
        <w:r w:rsidRPr="005E69DE">
          <w:rPr>
            <w:rStyle w:val="Hyperlink"/>
            <w:noProof/>
            <w:lang w:val="en-US"/>
          </w:rPr>
          <w:t>Preparing for backlash</w:t>
        </w:r>
        <w:r>
          <w:rPr>
            <w:noProof/>
            <w:webHidden/>
          </w:rPr>
          <w:tab/>
        </w:r>
        <w:r>
          <w:rPr>
            <w:noProof/>
            <w:webHidden/>
          </w:rPr>
          <w:fldChar w:fldCharType="begin"/>
        </w:r>
        <w:r>
          <w:rPr>
            <w:noProof/>
            <w:webHidden/>
          </w:rPr>
          <w:instrText xml:space="preserve"> PAGEREF _Toc149241668 \h </w:instrText>
        </w:r>
        <w:r>
          <w:rPr>
            <w:noProof/>
            <w:webHidden/>
          </w:rPr>
        </w:r>
        <w:r>
          <w:rPr>
            <w:noProof/>
            <w:webHidden/>
          </w:rPr>
          <w:fldChar w:fldCharType="separate"/>
        </w:r>
        <w:r>
          <w:rPr>
            <w:noProof/>
            <w:webHidden/>
          </w:rPr>
          <w:t>6</w:t>
        </w:r>
        <w:r>
          <w:rPr>
            <w:noProof/>
            <w:webHidden/>
          </w:rPr>
          <w:fldChar w:fldCharType="end"/>
        </w:r>
      </w:hyperlink>
    </w:p>
    <w:p w14:paraId="2F322908" w14:textId="3C97B8C3" w:rsidR="00D1279B" w:rsidRDefault="00D1279B">
      <w:pPr>
        <w:pStyle w:val="TOC1"/>
        <w:tabs>
          <w:tab w:val="right" w:leader="dot" w:pos="9016"/>
        </w:tabs>
        <w:rPr>
          <w:noProof/>
        </w:rPr>
      </w:pPr>
      <w:hyperlink w:anchor="_Toc149241669" w:history="1">
        <w:r w:rsidRPr="005E69DE">
          <w:rPr>
            <w:rStyle w:val="Hyperlink"/>
            <w:noProof/>
          </w:rPr>
          <w:t>Support services and referrals</w:t>
        </w:r>
        <w:r>
          <w:rPr>
            <w:noProof/>
            <w:webHidden/>
          </w:rPr>
          <w:tab/>
        </w:r>
        <w:r>
          <w:rPr>
            <w:noProof/>
            <w:webHidden/>
          </w:rPr>
          <w:fldChar w:fldCharType="begin"/>
        </w:r>
        <w:r>
          <w:rPr>
            <w:noProof/>
            <w:webHidden/>
          </w:rPr>
          <w:instrText xml:space="preserve"> PAGEREF _Toc149241669 \h </w:instrText>
        </w:r>
        <w:r>
          <w:rPr>
            <w:noProof/>
            <w:webHidden/>
          </w:rPr>
        </w:r>
        <w:r>
          <w:rPr>
            <w:noProof/>
            <w:webHidden/>
          </w:rPr>
          <w:fldChar w:fldCharType="separate"/>
        </w:r>
        <w:r>
          <w:rPr>
            <w:noProof/>
            <w:webHidden/>
          </w:rPr>
          <w:t>8</w:t>
        </w:r>
        <w:r>
          <w:rPr>
            <w:noProof/>
            <w:webHidden/>
          </w:rPr>
          <w:fldChar w:fldCharType="end"/>
        </w:r>
      </w:hyperlink>
    </w:p>
    <w:p w14:paraId="325CF0FF" w14:textId="3CF06866" w:rsidR="00D1279B" w:rsidRDefault="00D1279B">
      <w:pPr>
        <w:pStyle w:val="TOC1"/>
        <w:tabs>
          <w:tab w:val="right" w:leader="dot" w:pos="9016"/>
        </w:tabs>
        <w:rPr>
          <w:noProof/>
        </w:rPr>
      </w:pPr>
      <w:hyperlink w:anchor="_Toc149241670" w:history="1">
        <w:r w:rsidRPr="005E69DE">
          <w:rPr>
            <w:rStyle w:val="Hyperlink"/>
            <w:noProof/>
          </w:rPr>
          <w:t>Glossary of key terms</w:t>
        </w:r>
        <w:r>
          <w:rPr>
            <w:noProof/>
            <w:webHidden/>
          </w:rPr>
          <w:tab/>
        </w:r>
        <w:r>
          <w:rPr>
            <w:noProof/>
            <w:webHidden/>
          </w:rPr>
          <w:fldChar w:fldCharType="begin"/>
        </w:r>
        <w:r>
          <w:rPr>
            <w:noProof/>
            <w:webHidden/>
          </w:rPr>
          <w:instrText xml:space="preserve"> PAGEREF _Toc149241670 \h </w:instrText>
        </w:r>
        <w:r>
          <w:rPr>
            <w:noProof/>
            <w:webHidden/>
          </w:rPr>
        </w:r>
        <w:r>
          <w:rPr>
            <w:noProof/>
            <w:webHidden/>
          </w:rPr>
          <w:fldChar w:fldCharType="separate"/>
        </w:r>
        <w:r>
          <w:rPr>
            <w:noProof/>
            <w:webHidden/>
          </w:rPr>
          <w:t>9</w:t>
        </w:r>
        <w:r>
          <w:rPr>
            <w:noProof/>
            <w:webHidden/>
          </w:rPr>
          <w:fldChar w:fldCharType="end"/>
        </w:r>
      </w:hyperlink>
    </w:p>
    <w:p w14:paraId="32963F5A" w14:textId="659A9D3A" w:rsidR="00D1279B" w:rsidRDefault="00D1279B">
      <w:pPr>
        <w:pStyle w:val="TOC1"/>
        <w:tabs>
          <w:tab w:val="right" w:leader="dot" w:pos="9016"/>
        </w:tabs>
        <w:rPr>
          <w:noProof/>
        </w:rPr>
      </w:pPr>
      <w:hyperlink w:anchor="_Toc149241671" w:history="1">
        <w:r w:rsidRPr="005E69DE">
          <w:rPr>
            <w:rStyle w:val="Hyperlink"/>
            <w:noProof/>
            <w:lang w:val="en-US"/>
          </w:rPr>
          <w:t>Toolkit contributions</w:t>
        </w:r>
        <w:r>
          <w:rPr>
            <w:noProof/>
            <w:webHidden/>
          </w:rPr>
          <w:tab/>
        </w:r>
        <w:r>
          <w:rPr>
            <w:noProof/>
            <w:webHidden/>
          </w:rPr>
          <w:fldChar w:fldCharType="begin"/>
        </w:r>
        <w:r>
          <w:rPr>
            <w:noProof/>
            <w:webHidden/>
          </w:rPr>
          <w:instrText xml:space="preserve"> PAGEREF _Toc149241671 \h </w:instrText>
        </w:r>
        <w:r>
          <w:rPr>
            <w:noProof/>
            <w:webHidden/>
          </w:rPr>
        </w:r>
        <w:r>
          <w:rPr>
            <w:noProof/>
            <w:webHidden/>
          </w:rPr>
          <w:fldChar w:fldCharType="separate"/>
        </w:r>
        <w:r>
          <w:rPr>
            <w:noProof/>
            <w:webHidden/>
          </w:rPr>
          <w:t>12</w:t>
        </w:r>
        <w:r>
          <w:rPr>
            <w:noProof/>
            <w:webHidden/>
          </w:rPr>
          <w:fldChar w:fldCharType="end"/>
        </w:r>
      </w:hyperlink>
    </w:p>
    <w:p w14:paraId="322AA02E" w14:textId="49093BEF" w:rsidR="00D1279B" w:rsidRDefault="00D1279B" w:rsidP="00D1279B">
      <w:r>
        <w:fldChar w:fldCharType="end"/>
      </w:r>
    </w:p>
    <w:p w14:paraId="057A94A4" w14:textId="4AA51864" w:rsidR="00D1279B" w:rsidRDefault="00D1279B">
      <w:pPr>
        <w:spacing w:line="259" w:lineRule="auto"/>
      </w:pPr>
      <w:r>
        <w:br w:type="page"/>
      </w:r>
    </w:p>
    <w:p w14:paraId="677FA392" w14:textId="77777777" w:rsidR="00D1279B" w:rsidRDefault="00D1279B" w:rsidP="00D1279B">
      <w:pPr>
        <w:pStyle w:val="Heading1"/>
      </w:pPr>
      <w:bookmarkStart w:id="3" w:name="_Toc1833272471"/>
      <w:bookmarkStart w:id="4" w:name="_Toc149241667"/>
      <w:r>
        <w:lastRenderedPageBreak/>
        <w:t>Responding to disclosures</w:t>
      </w:r>
      <w:bookmarkEnd w:id="3"/>
      <w:bookmarkEnd w:id="4"/>
    </w:p>
    <w:p w14:paraId="26B2F46D" w14:textId="77777777" w:rsidR="00D1279B" w:rsidRPr="002F38C9" w:rsidRDefault="00D1279B" w:rsidP="00D1279B">
      <w:r w:rsidRPr="002F38C9">
        <w:t>When you open-up conversations about gender equality, respectful relationships and violence against women, there’s a good chance that someone may share that they have experienced or witnessed violence. Here’s how to respond to disclosures like this effectively.</w:t>
      </w:r>
    </w:p>
    <w:p w14:paraId="3A57D204" w14:textId="77777777" w:rsidR="00D1279B" w:rsidRPr="00C05F83" w:rsidRDefault="00D1279B" w:rsidP="00D1279B">
      <w:pPr>
        <w:rPr>
          <w:color w:val="auto"/>
        </w:rPr>
      </w:pPr>
      <w:r w:rsidRPr="00C05F83">
        <w:rPr>
          <w:color w:val="auto"/>
        </w:rPr>
        <w:t>The three most important things you can do when responding to disclosure are:</w:t>
      </w:r>
    </w:p>
    <w:p w14:paraId="5620A3D1" w14:textId="77777777" w:rsidR="00D1279B" w:rsidRPr="00C05F83" w:rsidRDefault="00D1279B" w:rsidP="00D1279B">
      <w:pPr>
        <w:pStyle w:val="ListParagraph"/>
        <w:numPr>
          <w:ilvl w:val="0"/>
          <w:numId w:val="1"/>
        </w:numPr>
        <w:rPr>
          <w:color w:val="auto"/>
        </w:rPr>
      </w:pPr>
      <w:r>
        <w:rPr>
          <w:color w:val="auto"/>
        </w:rPr>
        <w:t>l</w:t>
      </w:r>
      <w:r w:rsidRPr="00C05F83">
        <w:rPr>
          <w:color w:val="auto"/>
        </w:rPr>
        <w:t xml:space="preserve">isten without interruption or </w:t>
      </w:r>
      <w:proofErr w:type="gramStart"/>
      <w:r w:rsidRPr="00C05F83">
        <w:rPr>
          <w:color w:val="auto"/>
        </w:rPr>
        <w:t>judgement</w:t>
      </w:r>
      <w:proofErr w:type="gramEnd"/>
    </w:p>
    <w:p w14:paraId="3D3963E4" w14:textId="77777777" w:rsidR="00D1279B" w:rsidRPr="00C05F83" w:rsidRDefault="00D1279B" w:rsidP="00D1279B">
      <w:pPr>
        <w:pStyle w:val="ListParagraph"/>
        <w:numPr>
          <w:ilvl w:val="0"/>
          <w:numId w:val="1"/>
        </w:numPr>
        <w:rPr>
          <w:color w:val="auto"/>
        </w:rPr>
      </w:pPr>
      <w:r>
        <w:rPr>
          <w:color w:val="auto"/>
        </w:rPr>
        <w:t>b</w:t>
      </w:r>
      <w:r w:rsidRPr="00C05F83">
        <w:rPr>
          <w:color w:val="auto"/>
        </w:rPr>
        <w:t xml:space="preserve">elieve and validate their </w:t>
      </w:r>
      <w:proofErr w:type="gramStart"/>
      <w:r w:rsidRPr="00C05F83">
        <w:rPr>
          <w:color w:val="auto"/>
        </w:rPr>
        <w:t>experience</w:t>
      </w:r>
      <w:proofErr w:type="gramEnd"/>
    </w:p>
    <w:p w14:paraId="5DB9E8EF" w14:textId="77777777" w:rsidR="00D1279B" w:rsidRPr="00C05F83" w:rsidRDefault="00D1279B" w:rsidP="00D1279B">
      <w:pPr>
        <w:pStyle w:val="ListParagraph"/>
        <w:numPr>
          <w:ilvl w:val="0"/>
          <w:numId w:val="1"/>
        </w:numPr>
        <w:rPr>
          <w:color w:val="auto"/>
        </w:rPr>
      </w:pPr>
      <w:r>
        <w:rPr>
          <w:color w:val="auto"/>
        </w:rPr>
        <w:t>p</w:t>
      </w:r>
      <w:r w:rsidRPr="00C05F83">
        <w:rPr>
          <w:color w:val="auto"/>
        </w:rPr>
        <w:t>rovide information about referral pathways</w:t>
      </w:r>
      <w:r>
        <w:rPr>
          <w:color w:val="auto"/>
        </w:rPr>
        <w:t>.</w:t>
      </w:r>
    </w:p>
    <w:p w14:paraId="402A0120" w14:textId="77777777" w:rsidR="00D1279B" w:rsidRPr="002F38C9" w:rsidRDefault="00D1279B" w:rsidP="00D1279B">
      <w:r w:rsidRPr="002F38C9">
        <w:t xml:space="preserve">These are some ideas of what you could say – but it’s important you only say these genuinely, and that you use your own words. </w:t>
      </w:r>
    </w:p>
    <w:p w14:paraId="2679FC79" w14:textId="77777777" w:rsidR="00D1279B" w:rsidRPr="002F38C9" w:rsidRDefault="00D1279B" w:rsidP="00D1279B">
      <w:pPr>
        <w:pStyle w:val="ListParagraph"/>
        <w:numPr>
          <w:ilvl w:val="0"/>
          <w:numId w:val="2"/>
        </w:numPr>
      </w:pPr>
      <w:r w:rsidRPr="002F38C9">
        <w:t>What happened is not okay, and it was not your fault.</w:t>
      </w:r>
    </w:p>
    <w:p w14:paraId="30D76B40" w14:textId="77777777" w:rsidR="00D1279B" w:rsidRPr="002F38C9" w:rsidRDefault="00D1279B" w:rsidP="00D1279B">
      <w:pPr>
        <w:pStyle w:val="ListParagraph"/>
        <w:numPr>
          <w:ilvl w:val="0"/>
          <w:numId w:val="2"/>
        </w:numPr>
      </w:pPr>
      <w:r w:rsidRPr="002F38C9">
        <w:t>I’m glad you told me.</w:t>
      </w:r>
    </w:p>
    <w:p w14:paraId="533A400E" w14:textId="77777777" w:rsidR="00D1279B" w:rsidRPr="002F38C9" w:rsidRDefault="00D1279B" w:rsidP="00D1279B">
      <w:pPr>
        <w:pStyle w:val="ListParagraph"/>
        <w:numPr>
          <w:ilvl w:val="0"/>
          <w:numId w:val="2"/>
        </w:numPr>
      </w:pPr>
      <w:r w:rsidRPr="002F38C9">
        <w:t>No one should have to experience what you’ve been through.</w:t>
      </w:r>
    </w:p>
    <w:p w14:paraId="7CB82FB3" w14:textId="77777777" w:rsidR="00D1279B" w:rsidRPr="00D8053B" w:rsidRDefault="00D1279B" w:rsidP="00D1279B">
      <w:pPr>
        <w:pStyle w:val="ListParagraph"/>
        <w:numPr>
          <w:ilvl w:val="0"/>
          <w:numId w:val="2"/>
        </w:numPr>
        <w:rPr>
          <w:b/>
          <w:bCs/>
        </w:rPr>
      </w:pPr>
      <w:r w:rsidRPr="002F38C9">
        <w:t xml:space="preserve">Do you feel safe </w:t>
      </w:r>
      <w:proofErr w:type="gramStart"/>
      <w:r w:rsidRPr="002F38C9">
        <w:t>at the moment</w:t>
      </w:r>
      <w:proofErr w:type="gramEnd"/>
      <w:r w:rsidRPr="002F38C9">
        <w:t>?</w:t>
      </w:r>
    </w:p>
    <w:p w14:paraId="410AE555" w14:textId="5B376A46" w:rsidR="00D1279B" w:rsidRDefault="00D1279B" w:rsidP="00D1279B">
      <w:pPr>
        <w:pStyle w:val="ListParagraph"/>
        <w:numPr>
          <w:ilvl w:val="0"/>
          <w:numId w:val="2"/>
        </w:numPr>
      </w:pPr>
      <w:r w:rsidRPr="002F38C9">
        <w:t>I’m not a specialist in helping people with experiences like yours – but I can give you the contact details of a support service</w:t>
      </w:r>
      <w:r w:rsidRPr="00D8053B">
        <w:rPr>
          <w:b/>
          <w:bCs/>
          <w:color w:val="473DFF"/>
        </w:rPr>
        <w:t xml:space="preserve"> </w:t>
      </w:r>
      <w:r w:rsidRPr="00D8053B">
        <w:t>(</w:t>
      </w:r>
      <w:hyperlink w:anchor="_Support_services_and" w:history="1">
        <w:r w:rsidRPr="006C00BA">
          <w:rPr>
            <w:rStyle w:val="Hyperlink"/>
          </w:rPr>
          <w:t xml:space="preserve">page </w:t>
        </w:r>
        <w:r>
          <w:rPr>
            <w:rStyle w:val="Hyperlink"/>
          </w:rPr>
          <w:t>8</w:t>
        </w:r>
      </w:hyperlink>
      <w:r w:rsidRPr="00D8053B">
        <w:t>)</w:t>
      </w:r>
      <w:r w:rsidRPr="002F38C9">
        <w:t xml:space="preserve"> you can talk to if you want.</w:t>
      </w:r>
    </w:p>
    <w:p w14:paraId="5A0CB8BB" w14:textId="77777777" w:rsidR="00D1279B" w:rsidRPr="002F38C9" w:rsidRDefault="00D1279B" w:rsidP="00D1279B">
      <w:r>
        <w:t xml:space="preserve">Safe and Equal’s </w:t>
      </w:r>
      <w:hyperlink r:id="rId9" w:history="1">
        <w:r w:rsidRPr="00CB49C9">
          <w:rPr>
            <w:rStyle w:val="Hyperlink"/>
          </w:rPr>
          <w:t>Responding to Disclosures virtual training</w:t>
        </w:r>
      </w:hyperlink>
      <w:r>
        <w:t xml:space="preserve"> is a valuable resource. </w:t>
      </w:r>
    </w:p>
    <w:p w14:paraId="3517C962" w14:textId="77777777" w:rsidR="00D1279B" w:rsidRDefault="00D1279B" w:rsidP="00D1279B">
      <w:r w:rsidRPr="00FF5CD2">
        <w:t>When responding to disclosures, try to:</w:t>
      </w:r>
    </w:p>
    <w:p w14:paraId="6C957A35" w14:textId="77777777" w:rsidR="00D1279B" w:rsidRPr="00B827AE" w:rsidRDefault="00D1279B" w:rsidP="00D1279B">
      <w:pPr>
        <w:pStyle w:val="ListParagraph"/>
        <w:numPr>
          <w:ilvl w:val="0"/>
          <w:numId w:val="4"/>
        </w:numPr>
        <w:rPr>
          <w:rFonts w:ascii="Calibri" w:hAnsi="Calibri" w:cs="Calibri"/>
          <w:color w:val="222222"/>
        </w:rPr>
      </w:pPr>
      <w:r>
        <w:t>l</w:t>
      </w:r>
      <w:r w:rsidRPr="00163790">
        <w:t xml:space="preserve">isten, without interruption or judgement, giving the victim survivor time to share their </w:t>
      </w:r>
      <w:proofErr w:type="gramStart"/>
      <w:r w:rsidRPr="00163790">
        <w:t>experience</w:t>
      </w:r>
      <w:proofErr w:type="gramEnd"/>
    </w:p>
    <w:p w14:paraId="3D7E39A4" w14:textId="77777777" w:rsidR="00D1279B" w:rsidRPr="00B827AE" w:rsidRDefault="00D1279B" w:rsidP="00D1279B">
      <w:pPr>
        <w:pStyle w:val="ListParagraph"/>
        <w:numPr>
          <w:ilvl w:val="0"/>
          <w:numId w:val="4"/>
        </w:numPr>
        <w:rPr>
          <w:rFonts w:ascii="Calibri" w:hAnsi="Calibri" w:cs="Calibri"/>
          <w:color w:val="222222"/>
        </w:rPr>
      </w:pPr>
      <w:r>
        <w:rPr>
          <w:color w:val="222222"/>
        </w:rPr>
        <w:t>b</w:t>
      </w:r>
      <w:r w:rsidRPr="00B827AE">
        <w:rPr>
          <w:color w:val="222222"/>
        </w:rPr>
        <w:t xml:space="preserve">elieve what the victim survivor is saying to </w:t>
      </w:r>
      <w:proofErr w:type="gramStart"/>
      <w:r w:rsidRPr="00B827AE">
        <w:rPr>
          <w:color w:val="222222"/>
        </w:rPr>
        <w:t>you</w:t>
      </w:r>
      <w:proofErr w:type="gramEnd"/>
    </w:p>
    <w:p w14:paraId="2E76221E" w14:textId="77777777" w:rsidR="00D1279B" w:rsidRPr="00B827AE" w:rsidRDefault="00D1279B" w:rsidP="00D1279B">
      <w:pPr>
        <w:pStyle w:val="ListParagraph"/>
        <w:numPr>
          <w:ilvl w:val="0"/>
          <w:numId w:val="4"/>
        </w:numPr>
        <w:rPr>
          <w:rFonts w:ascii="Calibri" w:hAnsi="Calibri" w:cs="Calibri"/>
          <w:color w:val="222222"/>
        </w:rPr>
      </w:pPr>
      <w:r>
        <w:t>a</w:t>
      </w:r>
      <w:r w:rsidRPr="00163790">
        <w:t xml:space="preserve">ffirm the victim survivor is brave in being able to come </w:t>
      </w:r>
      <w:proofErr w:type="gramStart"/>
      <w:r w:rsidRPr="00163790">
        <w:t>forward</w:t>
      </w:r>
      <w:proofErr w:type="gramEnd"/>
    </w:p>
    <w:p w14:paraId="0507B510" w14:textId="77777777" w:rsidR="00D1279B" w:rsidRPr="00B827AE" w:rsidRDefault="00D1279B" w:rsidP="00D1279B">
      <w:pPr>
        <w:pStyle w:val="ListParagraph"/>
        <w:numPr>
          <w:ilvl w:val="0"/>
          <w:numId w:val="4"/>
        </w:numPr>
        <w:rPr>
          <w:rFonts w:ascii="Calibri" w:hAnsi="Calibri" w:cs="Calibri"/>
          <w:color w:val="222222"/>
        </w:rPr>
      </w:pPr>
      <w:r>
        <w:t>e</w:t>
      </w:r>
      <w:r w:rsidRPr="00163790">
        <w:t xml:space="preserve">mphasise that they are not to blame for their </w:t>
      </w:r>
      <w:proofErr w:type="gramStart"/>
      <w:r w:rsidRPr="00163790">
        <w:t>experience</w:t>
      </w:r>
      <w:proofErr w:type="gramEnd"/>
    </w:p>
    <w:p w14:paraId="13B9EA53" w14:textId="77777777" w:rsidR="00D1279B" w:rsidRPr="00B827AE" w:rsidRDefault="00D1279B" w:rsidP="00D1279B">
      <w:pPr>
        <w:pStyle w:val="ListParagraph"/>
        <w:numPr>
          <w:ilvl w:val="0"/>
          <w:numId w:val="4"/>
        </w:numPr>
        <w:rPr>
          <w:rFonts w:ascii="Calibri" w:hAnsi="Calibri" w:cs="Calibri"/>
          <w:color w:val="222222"/>
        </w:rPr>
      </w:pPr>
      <w:r>
        <w:t>b</w:t>
      </w:r>
      <w:r w:rsidRPr="00163790">
        <w:t xml:space="preserve">e honest and open about your skills and knowledge and the types of support you can </w:t>
      </w:r>
      <w:proofErr w:type="gramStart"/>
      <w:r w:rsidRPr="00163790">
        <w:t>provide</w:t>
      </w:r>
      <w:proofErr w:type="gramEnd"/>
    </w:p>
    <w:p w14:paraId="5E5F3EE1" w14:textId="25BF56DD" w:rsidR="00D1279B" w:rsidRPr="00B827AE" w:rsidRDefault="00D1279B" w:rsidP="00D1279B">
      <w:pPr>
        <w:pStyle w:val="ListParagraph"/>
        <w:numPr>
          <w:ilvl w:val="0"/>
          <w:numId w:val="4"/>
        </w:numPr>
        <w:rPr>
          <w:rFonts w:ascii="Calibri" w:hAnsi="Calibri" w:cs="Calibri"/>
          <w:color w:val="222222"/>
        </w:rPr>
      </w:pPr>
      <w:r>
        <w:t>p</w:t>
      </w:r>
      <w:r w:rsidRPr="00163790">
        <w:t>rovide information about specialist support services (</w:t>
      </w:r>
      <w:hyperlink w:anchor="_Support_services_and" w:history="1">
        <w:r w:rsidRPr="006C00BA">
          <w:rPr>
            <w:rStyle w:val="Hyperlink"/>
          </w:rPr>
          <w:t>page</w:t>
        </w:r>
        <w:r>
          <w:rPr>
            <w:rStyle w:val="Hyperlink"/>
          </w:rPr>
          <w:t xml:space="preserve"> </w:t>
        </w:r>
        <w:r>
          <w:rPr>
            <w:rStyle w:val="Hyperlink"/>
          </w:rPr>
          <w:t>8</w:t>
        </w:r>
      </w:hyperlink>
      <w:r w:rsidRPr="00163790">
        <w:t xml:space="preserve">) in a way that is safe and supportive. Ask them if they would like some personal or professional support, and whether they would like any help identifying particular </w:t>
      </w:r>
      <w:proofErr w:type="gramStart"/>
      <w:r w:rsidRPr="00163790">
        <w:t>services</w:t>
      </w:r>
      <w:proofErr w:type="gramEnd"/>
    </w:p>
    <w:p w14:paraId="06FC1795" w14:textId="77777777" w:rsidR="00D1279B" w:rsidRPr="00B827AE" w:rsidRDefault="00D1279B" w:rsidP="00D1279B">
      <w:pPr>
        <w:pStyle w:val="ListParagraph"/>
        <w:numPr>
          <w:ilvl w:val="0"/>
          <w:numId w:val="4"/>
        </w:numPr>
        <w:rPr>
          <w:rFonts w:ascii="Calibri" w:hAnsi="Calibri" w:cs="Calibri"/>
          <w:color w:val="222222"/>
        </w:rPr>
      </w:pPr>
      <w:r>
        <w:t>k</w:t>
      </w:r>
      <w:r w:rsidRPr="00163790">
        <w:t>eep the conversation confidential. The only exception is if you believe the person’s safety is at immediate risk (call 000), or you become aware that a child’s safety is at risk. It is important to recognise however, whether you are a professional service and have a responsibility for escalating an issue. </w:t>
      </w:r>
    </w:p>
    <w:p w14:paraId="10215A71" w14:textId="77777777" w:rsidR="00D1279B" w:rsidRDefault="00D1279B" w:rsidP="00D1279B">
      <w:r>
        <w:t>After being trusted with a disclosure, try not to:</w:t>
      </w:r>
    </w:p>
    <w:p w14:paraId="6A975413" w14:textId="77777777" w:rsidR="00D1279B" w:rsidRPr="004066FF" w:rsidRDefault="00D1279B" w:rsidP="00D1279B">
      <w:pPr>
        <w:pStyle w:val="ListParagraph"/>
        <w:numPr>
          <w:ilvl w:val="0"/>
          <w:numId w:val="5"/>
        </w:numPr>
        <w:rPr>
          <w:rFonts w:ascii="Calibri" w:hAnsi="Calibri" w:cs="Calibri"/>
          <w:color w:val="222222"/>
        </w:rPr>
      </w:pPr>
      <w:r>
        <w:t>f</w:t>
      </w:r>
      <w:r w:rsidRPr="00163790">
        <w:t xml:space="preserve">ind out the </w:t>
      </w:r>
      <w:proofErr w:type="gramStart"/>
      <w:r w:rsidRPr="00163790">
        <w:t>details</w:t>
      </w:r>
      <w:proofErr w:type="gramEnd"/>
    </w:p>
    <w:p w14:paraId="4A81517E" w14:textId="77777777" w:rsidR="00D1279B" w:rsidRPr="004066FF" w:rsidRDefault="00D1279B" w:rsidP="00D1279B">
      <w:pPr>
        <w:pStyle w:val="ListParagraph"/>
        <w:numPr>
          <w:ilvl w:val="0"/>
          <w:numId w:val="5"/>
        </w:numPr>
        <w:rPr>
          <w:rFonts w:ascii="Calibri" w:hAnsi="Calibri" w:cs="Calibri"/>
          <w:color w:val="222222"/>
        </w:rPr>
      </w:pPr>
      <w:r>
        <w:t>f</w:t>
      </w:r>
      <w:r w:rsidRPr="00163790">
        <w:t xml:space="preserve">ix the situation for </w:t>
      </w:r>
      <w:proofErr w:type="gramStart"/>
      <w:r w:rsidRPr="00163790">
        <w:t>them</w:t>
      </w:r>
      <w:proofErr w:type="gramEnd"/>
    </w:p>
    <w:p w14:paraId="5E201A86" w14:textId="77777777" w:rsidR="00D1279B" w:rsidRPr="004066FF" w:rsidRDefault="00D1279B" w:rsidP="00D1279B">
      <w:pPr>
        <w:pStyle w:val="ListParagraph"/>
        <w:numPr>
          <w:ilvl w:val="0"/>
          <w:numId w:val="5"/>
        </w:numPr>
        <w:rPr>
          <w:rFonts w:ascii="Calibri" w:hAnsi="Calibri" w:cs="Calibri"/>
          <w:color w:val="222222"/>
        </w:rPr>
      </w:pPr>
      <w:r>
        <w:t>s</w:t>
      </w:r>
      <w:r w:rsidRPr="00163790">
        <w:t>uggest the situation is somewhat their fault – don’t ask questions like ‘why do you put up with it?’ or ‘how can you still stay with them?’ </w:t>
      </w:r>
    </w:p>
    <w:p w14:paraId="10A67906" w14:textId="77777777" w:rsidR="00D1279B" w:rsidRPr="004066FF" w:rsidRDefault="00D1279B" w:rsidP="00D1279B">
      <w:pPr>
        <w:pStyle w:val="ListParagraph"/>
        <w:numPr>
          <w:ilvl w:val="0"/>
          <w:numId w:val="5"/>
        </w:numPr>
        <w:rPr>
          <w:rFonts w:ascii="Calibri" w:hAnsi="Calibri" w:cs="Calibri"/>
          <w:color w:val="222222"/>
        </w:rPr>
      </w:pPr>
      <w:r>
        <w:t>g</w:t>
      </w:r>
      <w:r w:rsidRPr="00163790">
        <w:t xml:space="preserve">ive advice or tell them what to do – it will reduce their confidence to make their own </w:t>
      </w:r>
      <w:proofErr w:type="gramStart"/>
      <w:r w:rsidRPr="00163790">
        <w:t>decisions</w:t>
      </w:r>
      <w:proofErr w:type="gramEnd"/>
      <w:r w:rsidRPr="00163790">
        <w:t> </w:t>
      </w:r>
    </w:p>
    <w:p w14:paraId="5D7D95B2" w14:textId="77777777" w:rsidR="00D1279B" w:rsidRPr="004066FF" w:rsidRDefault="00D1279B" w:rsidP="00D1279B">
      <w:pPr>
        <w:pStyle w:val="ListParagraph"/>
        <w:numPr>
          <w:ilvl w:val="0"/>
          <w:numId w:val="5"/>
        </w:numPr>
        <w:rPr>
          <w:rFonts w:ascii="Calibri" w:hAnsi="Calibri" w:cs="Calibri"/>
          <w:color w:val="222222"/>
        </w:rPr>
      </w:pPr>
      <w:r>
        <w:t>j</w:t>
      </w:r>
      <w:r w:rsidRPr="00163790">
        <w:t xml:space="preserve">udge or criticise their choice – even if you don’t agree with </w:t>
      </w:r>
      <w:proofErr w:type="gramStart"/>
      <w:r w:rsidRPr="00163790">
        <w:t>it</w:t>
      </w:r>
      <w:proofErr w:type="gramEnd"/>
    </w:p>
    <w:p w14:paraId="35E4C88C" w14:textId="77777777" w:rsidR="00D1279B" w:rsidRPr="004066FF" w:rsidRDefault="00D1279B" w:rsidP="00D1279B">
      <w:pPr>
        <w:pStyle w:val="ListParagraph"/>
        <w:numPr>
          <w:ilvl w:val="0"/>
          <w:numId w:val="5"/>
        </w:numPr>
        <w:rPr>
          <w:rFonts w:ascii="Calibri" w:hAnsi="Calibri" w:cs="Calibri"/>
          <w:color w:val="222222"/>
        </w:rPr>
      </w:pPr>
      <w:r>
        <w:lastRenderedPageBreak/>
        <w:t>c</w:t>
      </w:r>
      <w:r w:rsidRPr="00163790">
        <w:t xml:space="preserve">riticise the perpetrator – it may only make the victim survivor want to defend the perpetrator. Focus on criticising the abusive behaviour and let them know that no one should abuse </w:t>
      </w:r>
      <w:proofErr w:type="gramStart"/>
      <w:r w:rsidRPr="00163790">
        <w:t>them</w:t>
      </w:r>
      <w:proofErr w:type="gramEnd"/>
    </w:p>
    <w:p w14:paraId="24EE7881" w14:textId="77777777" w:rsidR="00D1279B" w:rsidRPr="004066FF" w:rsidRDefault="00D1279B" w:rsidP="00D1279B">
      <w:pPr>
        <w:pStyle w:val="ListParagraph"/>
        <w:numPr>
          <w:ilvl w:val="0"/>
          <w:numId w:val="5"/>
        </w:numPr>
        <w:rPr>
          <w:rFonts w:ascii="Calibri" w:hAnsi="Calibri" w:cs="Calibri"/>
          <w:color w:val="222222"/>
        </w:rPr>
      </w:pPr>
      <w:r>
        <w:t>p</w:t>
      </w:r>
      <w:r w:rsidRPr="00163790">
        <w:t>rovide counselling – if you are not a counsellor or do not have specialist training in responding to family violence, be honest and open about that.</w:t>
      </w:r>
    </w:p>
    <w:p w14:paraId="6B91B7F0" w14:textId="77777777" w:rsidR="00D1279B" w:rsidRDefault="00D1279B" w:rsidP="00D1279B">
      <w:pPr>
        <w:pStyle w:val="Heading2"/>
      </w:pPr>
      <w:bookmarkStart w:id="5" w:name="_Toc149048858"/>
      <w:r>
        <w:t xml:space="preserve">Remember your own </w:t>
      </w:r>
      <w:proofErr w:type="gramStart"/>
      <w:r>
        <w:t>self-care</w:t>
      </w:r>
      <w:bookmarkEnd w:id="5"/>
      <w:proofErr w:type="gramEnd"/>
    </w:p>
    <w:p w14:paraId="504A728A" w14:textId="77777777" w:rsidR="00D1279B" w:rsidRPr="008E32F9" w:rsidRDefault="00D1279B" w:rsidP="00D1279B">
      <w:r w:rsidRPr="008E32F9">
        <w:t>Self-care is a priority and necessity – not a luxury. If you find yourself feeling down, depleted, or irritable you may need to take some time out. There are lots of ways you can do this, including:</w:t>
      </w:r>
    </w:p>
    <w:p w14:paraId="5318F7D1" w14:textId="57C9DACB" w:rsidR="00D1279B" w:rsidRPr="00E90737" w:rsidRDefault="00D1279B" w:rsidP="00D1279B">
      <w:pPr>
        <w:pStyle w:val="ListParagraph"/>
        <w:numPr>
          <w:ilvl w:val="0"/>
          <w:numId w:val="3"/>
        </w:numPr>
        <w:rPr>
          <w:color w:val="0000FF"/>
        </w:rPr>
      </w:pPr>
      <w:r w:rsidRPr="008E32F9">
        <w:t>Reach out to someone. This could be a family member, trusted friend or colleague, your manager, a counsellor, or another support person, including the support services on</w:t>
      </w:r>
      <w:r w:rsidRPr="00E90737">
        <w:rPr>
          <w:color w:val="473DFF"/>
        </w:rPr>
        <w:t xml:space="preserve"> </w:t>
      </w:r>
      <w:hyperlink w:anchor="_Support_services_and" w:history="1">
        <w:r w:rsidRPr="006C00BA">
          <w:rPr>
            <w:rStyle w:val="Hyperlink"/>
          </w:rPr>
          <w:t xml:space="preserve">page </w:t>
        </w:r>
        <w:r>
          <w:rPr>
            <w:rStyle w:val="Hyperlink"/>
          </w:rPr>
          <w:t>8</w:t>
        </w:r>
      </w:hyperlink>
      <w:r w:rsidRPr="00E90737">
        <w:t>.</w:t>
      </w:r>
      <w:r w:rsidRPr="008E32F9">
        <w:t xml:space="preserve"> </w:t>
      </w:r>
    </w:p>
    <w:p w14:paraId="7FE7E50A" w14:textId="77777777" w:rsidR="00D1279B" w:rsidRPr="008E32F9" w:rsidRDefault="00D1279B" w:rsidP="00D1279B">
      <w:pPr>
        <w:pStyle w:val="ListParagraph"/>
        <w:numPr>
          <w:ilvl w:val="0"/>
          <w:numId w:val="3"/>
        </w:numPr>
      </w:pPr>
      <w:r w:rsidRPr="008E32F9">
        <w:t>Find a way to rest and recharge. Have some time with no goals – spend time reading, take a day off, spend some time outside, see your friends, take a nap... whatever helps you reenergise</w:t>
      </w:r>
      <w:r>
        <w:t>.</w:t>
      </w:r>
    </w:p>
    <w:p w14:paraId="7E4AA1D9" w14:textId="77777777" w:rsidR="00D1279B" w:rsidRDefault="00D1279B" w:rsidP="00D1279B">
      <w:pPr>
        <w:pStyle w:val="ListParagraph"/>
        <w:numPr>
          <w:ilvl w:val="0"/>
          <w:numId w:val="3"/>
        </w:numPr>
      </w:pPr>
      <w:r w:rsidRPr="008E32F9">
        <w:t xml:space="preserve">Play – have fun and do things that make you laugh. This might look like playing with children and pets, creative activities, watching a favourite </w:t>
      </w:r>
      <w:r>
        <w:t>movie</w:t>
      </w:r>
      <w:r w:rsidRPr="008E32F9">
        <w:t>.</w:t>
      </w:r>
    </w:p>
    <w:p w14:paraId="102FED5B" w14:textId="77777777" w:rsidR="00D1279B" w:rsidRDefault="00D1279B" w:rsidP="00D1279B">
      <w:pPr>
        <w:spacing w:line="259" w:lineRule="auto"/>
      </w:pPr>
      <w:r>
        <w:br w:type="page"/>
      </w:r>
    </w:p>
    <w:p w14:paraId="19B188B7" w14:textId="77777777" w:rsidR="00D1279B" w:rsidRDefault="00D1279B" w:rsidP="00D1279B">
      <w:pPr>
        <w:pStyle w:val="Heading1"/>
        <w:rPr>
          <w:lang w:val="en-US"/>
        </w:rPr>
      </w:pPr>
      <w:bookmarkStart w:id="6" w:name="_Preparing_for_backlash"/>
      <w:bookmarkStart w:id="7" w:name="_Toc1848497300"/>
      <w:bookmarkStart w:id="8" w:name="_Toc149241668"/>
      <w:r w:rsidRPr="351317B0">
        <w:rPr>
          <w:lang w:val="en-US"/>
        </w:rPr>
        <w:lastRenderedPageBreak/>
        <w:t>Preparing for backlash</w:t>
      </w:r>
      <w:bookmarkEnd w:id="6"/>
      <w:bookmarkEnd w:id="7"/>
      <w:bookmarkEnd w:id="8"/>
    </w:p>
    <w:p w14:paraId="4AD680FD" w14:textId="77777777" w:rsidR="00D1279B" w:rsidRPr="0028036D" w:rsidRDefault="00D1279B" w:rsidP="00D1279B">
      <w:pPr>
        <w:rPr>
          <w:lang w:val="en-US"/>
        </w:rPr>
      </w:pPr>
      <w:r w:rsidRPr="0028036D">
        <w:rPr>
          <w:lang w:val="en-US"/>
        </w:rPr>
        <w:t>When you bring up gender equality messages, it is likely that you will face resistance or even backlash. It is an uncomfortable experience for most people when their long-held beliefs are challenged – and naturally they want to resist.</w:t>
      </w:r>
    </w:p>
    <w:p w14:paraId="221F3FB5" w14:textId="77777777" w:rsidR="00D1279B" w:rsidRPr="0028036D" w:rsidRDefault="00D1279B" w:rsidP="00D1279B">
      <w:pPr>
        <w:rPr>
          <w:lang w:val="en-US"/>
        </w:rPr>
      </w:pPr>
      <w:r w:rsidRPr="0028036D">
        <w:rPr>
          <w:lang w:val="en-US"/>
        </w:rPr>
        <w:t>Experiencing resistance is not necessarily a bad thing, and in some instances can indicate that you are having a difficult but necessary conversation to help someone think about, or reflect on, an issue in a new way.</w:t>
      </w:r>
    </w:p>
    <w:p w14:paraId="23DBB568" w14:textId="77777777" w:rsidR="00D1279B" w:rsidRPr="0028036D" w:rsidRDefault="00D1279B" w:rsidP="00D1279B">
      <w:pPr>
        <w:rPr>
          <w:lang w:val="en-US"/>
        </w:rPr>
      </w:pPr>
      <w:r w:rsidRPr="0028036D">
        <w:rPr>
          <w:lang w:val="en-US"/>
        </w:rPr>
        <w:t xml:space="preserve">Proactively preparing for resistance and backlash is important for developing strategies and responses, and for caring for your own safety and wellbeing. </w:t>
      </w:r>
    </w:p>
    <w:p w14:paraId="3ECB2887" w14:textId="77777777" w:rsidR="00D1279B" w:rsidRPr="0028036D" w:rsidRDefault="00D1279B" w:rsidP="00D1279B">
      <w:pPr>
        <w:rPr>
          <w:lang w:val="en-US"/>
        </w:rPr>
      </w:pPr>
      <w:r w:rsidRPr="0028036D">
        <w:rPr>
          <w:lang w:val="en-US"/>
        </w:rPr>
        <w:t>To prepare, you might:</w:t>
      </w:r>
    </w:p>
    <w:p w14:paraId="12DEA367" w14:textId="77777777" w:rsidR="00D1279B" w:rsidRPr="003130C9" w:rsidRDefault="00D1279B" w:rsidP="00D1279B">
      <w:pPr>
        <w:pStyle w:val="ListParagraph"/>
        <w:numPr>
          <w:ilvl w:val="0"/>
          <w:numId w:val="6"/>
        </w:numPr>
        <w:rPr>
          <w:lang w:val="en-US"/>
        </w:rPr>
      </w:pPr>
      <w:r w:rsidRPr="003130C9">
        <w:rPr>
          <w:lang w:val="en-US"/>
        </w:rPr>
        <w:t xml:space="preserve">share this section of the toolkit with your </w:t>
      </w:r>
      <w:proofErr w:type="gramStart"/>
      <w:r w:rsidRPr="003130C9">
        <w:rPr>
          <w:lang w:val="en-US"/>
        </w:rPr>
        <w:t>co-workers</w:t>
      </w:r>
      <w:proofErr w:type="gramEnd"/>
    </w:p>
    <w:p w14:paraId="022F7087" w14:textId="77777777" w:rsidR="00D1279B" w:rsidRPr="003130C9" w:rsidRDefault="00D1279B" w:rsidP="00D1279B">
      <w:pPr>
        <w:pStyle w:val="ListParagraph"/>
        <w:numPr>
          <w:ilvl w:val="0"/>
          <w:numId w:val="6"/>
        </w:numPr>
        <w:rPr>
          <w:lang w:val="en-US"/>
        </w:rPr>
      </w:pPr>
      <w:proofErr w:type="spellStart"/>
      <w:r w:rsidRPr="003130C9">
        <w:rPr>
          <w:lang w:val="en-US"/>
        </w:rPr>
        <w:t>organise</w:t>
      </w:r>
      <w:proofErr w:type="spellEnd"/>
      <w:r w:rsidRPr="003130C9">
        <w:rPr>
          <w:lang w:val="en-US"/>
        </w:rPr>
        <w:t xml:space="preserve"> internal training and </w:t>
      </w:r>
      <w:proofErr w:type="gramStart"/>
      <w:r w:rsidRPr="003130C9">
        <w:rPr>
          <w:lang w:val="en-US"/>
        </w:rPr>
        <w:t>briefing</w:t>
      </w:r>
      <w:proofErr w:type="gramEnd"/>
    </w:p>
    <w:p w14:paraId="70FC90CE" w14:textId="77777777" w:rsidR="00D1279B" w:rsidRPr="003130C9" w:rsidRDefault="00D1279B" w:rsidP="00D1279B">
      <w:pPr>
        <w:pStyle w:val="ListParagraph"/>
        <w:numPr>
          <w:ilvl w:val="0"/>
          <w:numId w:val="6"/>
        </w:numPr>
        <w:rPr>
          <w:lang w:val="en-US"/>
        </w:rPr>
      </w:pPr>
      <w:proofErr w:type="spellStart"/>
      <w:r w:rsidRPr="003130C9">
        <w:rPr>
          <w:lang w:val="en-US"/>
        </w:rPr>
        <w:t>customise</w:t>
      </w:r>
      <w:proofErr w:type="spellEnd"/>
      <w:r w:rsidRPr="003130C9">
        <w:rPr>
          <w:lang w:val="en-US"/>
        </w:rPr>
        <w:t xml:space="preserve"> or develop backlash response </w:t>
      </w:r>
      <w:proofErr w:type="gramStart"/>
      <w:r w:rsidRPr="003130C9">
        <w:rPr>
          <w:lang w:val="en-US"/>
        </w:rPr>
        <w:t>templates</w:t>
      </w:r>
      <w:proofErr w:type="gramEnd"/>
    </w:p>
    <w:p w14:paraId="244C1DA9" w14:textId="77777777" w:rsidR="00D1279B" w:rsidRPr="003130C9" w:rsidRDefault="00D1279B" w:rsidP="00D1279B">
      <w:pPr>
        <w:pStyle w:val="ListParagraph"/>
        <w:numPr>
          <w:ilvl w:val="0"/>
          <w:numId w:val="6"/>
        </w:numPr>
        <w:rPr>
          <w:lang w:val="en-US"/>
        </w:rPr>
      </w:pPr>
      <w:r w:rsidRPr="003130C9">
        <w:rPr>
          <w:lang w:val="en-US"/>
        </w:rPr>
        <w:t xml:space="preserve">share internal communications </w:t>
      </w:r>
      <w:proofErr w:type="gramStart"/>
      <w:r w:rsidRPr="003130C9">
        <w:rPr>
          <w:lang w:val="en-US"/>
        </w:rPr>
        <w:t>guides</w:t>
      </w:r>
      <w:proofErr w:type="gramEnd"/>
    </w:p>
    <w:p w14:paraId="171A9950" w14:textId="77777777" w:rsidR="00D1279B" w:rsidRPr="003130C9" w:rsidRDefault="00D1279B" w:rsidP="00D1279B">
      <w:pPr>
        <w:pStyle w:val="ListParagraph"/>
        <w:numPr>
          <w:ilvl w:val="0"/>
          <w:numId w:val="6"/>
        </w:numPr>
        <w:rPr>
          <w:lang w:val="en-US"/>
        </w:rPr>
      </w:pPr>
      <w:r w:rsidRPr="003130C9">
        <w:rPr>
          <w:lang w:val="en-US"/>
        </w:rPr>
        <w:t xml:space="preserve">connect local advocates and practitioners for support in responding to </w:t>
      </w:r>
      <w:proofErr w:type="gramStart"/>
      <w:r w:rsidRPr="003130C9">
        <w:rPr>
          <w:lang w:val="en-US"/>
        </w:rPr>
        <w:t>backlash</w:t>
      </w:r>
      <w:proofErr w:type="gramEnd"/>
    </w:p>
    <w:p w14:paraId="72785F63" w14:textId="77777777" w:rsidR="00D1279B" w:rsidRPr="003130C9" w:rsidRDefault="00D1279B" w:rsidP="00D1279B">
      <w:pPr>
        <w:pStyle w:val="ListParagraph"/>
        <w:numPr>
          <w:ilvl w:val="0"/>
          <w:numId w:val="6"/>
        </w:numPr>
        <w:rPr>
          <w:lang w:val="en-US"/>
        </w:rPr>
      </w:pPr>
      <w:r w:rsidRPr="003130C9">
        <w:rPr>
          <w:lang w:val="en-US"/>
        </w:rPr>
        <w:t xml:space="preserve">use existing networks, including social worker </w:t>
      </w:r>
      <w:proofErr w:type="gramStart"/>
      <w:r w:rsidRPr="003130C9">
        <w:rPr>
          <w:lang w:val="en-US"/>
        </w:rPr>
        <w:t>advocates</w:t>
      </w:r>
      <w:proofErr w:type="gramEnd"/>
    </w:p>
    <w:p w14:paraId="0EF04431" w14:textId="77777777" w:rsidR="00D1279B" w:rsidRPr="003130C9" w:rsidRDefault="00D1279B" w:rsidP="00D1279B">
      <w:pPr>
        <w:pStyle w:val="ListParagraph"/>
        <w:numPr>
          <w:ilvl w:val="0"/>
          <w:numId w:val="6"/>
        </w:numPr>
        <w:rPr>
          <w:lang w:val="en-US"/>
        </w:rPr>
      </w:pPr>
      <w:r w:rsidRPr="003130C9">
        <w:rPr>
          <w:lang w:val="en-US"/>
        </w:rPr>
        <w:t xml:space="preserve">reflect on past experiences in managing backlash. </w:t>
      </w:r>
    </w:p>
    <w:p w14:paraId="3274BC95" w14:textId="77777777" w:rsidR="00D1279B" w:rsidRPr="0028036D" w:rsidRDefault="00D1279B" w:rsidP="00D1279B">
      <w:pPr>
        <w:rPr>
          <w:lang w:val="en-US"/>
        </w:rPr>
      </w:pPr>
      <w:r w:rsidRPr="0028036D">
        <w:rPr>
          <w:lang w:val="en-US"/>
        </w:rPr>
        <w:t xml:space="preserve">In previous years, councils and </w:t>
      </w:r>
      <w:proofErr w:type="spellStart"/>
      <w:r w:rsidRPr="0028036D">
        <w:rPr>
          <w:lang w:val="en-US"/>
        </w:rPr>
        <w:t>organisations</w:t>
      </w:r>
      <w:proofErr w:type="spellEnd"/>
      <w:r w:rsidRPr="0028036D">
        <w:rPr>
          <w:lang w:val="en-US"/>
        </w:rPr>
        <w:t xml:space="preserve"> involved in 16 Days of Activism grassroots initiative have shared their approaches for responding to resistance and backlash including: </w:t>
      </w:r>
    </w:p>
    <w:p w14:paraId="43735D1F" w14:textId="77777777" w:rsidR="00D1279B" w:rsidRPr="003130C9" w:rsidRDefault="00D1279B" w:rsidP="00D1279B">
      <w:pPr>
        <w:pStyle w:val="ListParagraph"/>
        <w:numPr>
          <w:ilvl w:val="0"/>
          <w:numId w:val="7"/>
        </w:numPr>
        <w:rPr>
          <w:lang w:val="en-US"/>
        </w:rPr>
      </w:pPr>
      <w:r w:rsidRPr="003130C9">
        <w:rPr>
          <w:lang w:val="en-US"/>
        </w:rPr>
        <w:t>blocking or removing offensive comments on social media; not responding to less offensive comments; providing a standard response explaining the rationale for 16 Days of Activism</w:t>
      </w:r>
    </w:p>
    <w:p w14:paraId="3BC8428E" w14:textId="77777777" w:rsidR="00D1279B" w:rsidRPr="003130C9" w:rsidRDefault="00D1279B" w:rsidP="00D1279B">
      <w:pPr>
        <w:pStyle w:val="ListParagraph"/>
        <w:numPr>
          <w:ilvl w:val="0"/>
          <w:numId w:val="7"/>
        </w:numPr>
        <w:rPr>
          <w:lang w:val="en-US"/>
        </w:rPr>
      </w:pPr>
      <w:r w:rsidRPr="003130C9">
        <w:rPr>
          <w:lang w:val="en-US"/>
        </w:rPr>
        <w:t xml:space="preserve">arranging a phone call or in-person discussion with the person to acknowledge their comments, allow them to vent, and ensure they hear your </w:t>
      </w:r>
      <w:proofErr w:type="gramStart"/>
      <w:r w:rsidRPr="003130C9">
        <w:rPr>
          <w:lang w:val="en-US"/>
        </w:rPr>
        <w:t>reply</w:t>
      </w:r>
      <w:proofErr w:type="gramEnd"/>
    </w:p>
    <w:p w14:paraId="0CAE28B1" w14:textId="77777777" w:rsidR="00D1279B" w:rsidRPr="0028036D" w:rsidRDefault="00D1279B" w:rsidP="00D1279B">
      <w:pPr>
        <w:pStyle w:val="ListParagraph"/>
        <w:numPr>
          <w:ilvl w:val="0"/>
          <w:numId w:val="7"/>
        </w:numPr>
      </w:pPr>
      <w:r w:rsidRPr="003130C9">
        <w:rPr>
          <w:lang w:val="en-US"/>
        </w:rPr>
        <w:t>engaging multiple managers to take the lead in providing responses to their departments.</w:t>
      </w:r>
    </w:p>
    <w:p w14:paraId="105BBF62" w14:textId="77777777" w:rsidR="00D1279B" w:rsidRPr="006700A6" w:rsidRDefault="00D1279B" w:rsidP="00D1279B">
      <w:pPr>
        <w:pStyle w:val="Heading2"/>
        <w:rPr>
          <w:lang w:val="en-US"/>
        </w:rPr>
      </w:pPr>
      <w:bookmarkStart w:id="9" w:name="_Toc149048860"/>
      <w:r w:rsidRPr="006700A6">
        <w:rPr>
          <w:lang w:val="en-US"/>
        </w:rPr>
        <w:t>Responding to resistance and backlash</w:t>
      </w:r>
      <w:bookmarkEnd w:id="9"/>
    </w:p>
    <w:p w14:paraId="2AC9C51B" w14:textId="77777777" w:rsidR="00D1279B" w:rsidRDefault="00D1279B" w:rsidP="00D1279B">
      <w:pPr>
        <w:rPr>
          <w:lang w:val="en-US"/>
          <w14:ligatures w14:val="standardContextual"/>
        </w:rPr>
      </w:pPr>
      <w:r w:rsidRPr="006700A6">
        <w:rPr>
          <w:lang w:val="en-US"/>
          <w14:ligatures w14:val="standardContextual"/>
        </w:rPr>
        <w:t xml:space="preserve">Preparing for potential resistance and coming up with responses in advance will help you communicate better on the spot and may help you open more conversations with the community. </w:t>
      </w:r>
    </w:p>
    <w:p w14:paraId="199B609F" w14:textId="77777777" w:rsidR="00D1279B" w:rsidRDefault="00D1279B" w:rsidP="00D1279B">
      <w:pPr>
        <w:rPr>
          <w:lang w:val="en-US"/>
          <w14:ligatures w14:val="standardContextual"/>
        </w:rPr>
      </w:pPr>
      <w:r w:rsidRPr="006700A6">
        <w:rPr>
          <w:lang w:val="en-US"/>
          <w14:ligatures w14:val="standardContextual"/>
        </w:rPr>
        <w:t xml:space="preserve">You could prepare standard responses for you and your team to </w:t>
      </w:r>
      <w:proofErr w:type="spellStart"/>
      <w:r w:rsidRPr="006700A6">
        <w:rPr>
          <w:lang w:val="en-US"/>
          <w14:ligatures w14:val="standardContextual"/>
        </w:rPr>
        <w:t>utilise</w:t>
      </w:r>
      <w:proofErr w:type="spellEnd"/>
      <w:r w:rsidRPr="006700A6">
        <w:rPr>
          <w:lang w:val="en-US"/>
          <w14:ligatures w14:val="standardContextual"/>
        </w:rPr>
        <w:t>, or practice framing and crafting productive responses.</w:t>
      </w:r>
    </w:p>
    <w:p w14:paraId="78D675FF" w14:textId="77777777" w:rsidR="00D1279B" w:rsidRDefault="00D1279B" w:rsidP="00D1279B">
      <w:pPr>
        <w:pStyle w:val="Heading3"/>
      </w:pPr>
      <w:bookmarkStart w:id="10" w:name="_Toc149048501"/>
      <w:bookmarkStart w:id="11" w:name="_Toc149048861"/>
      <w:r w:rsidRPr="002F38C9">
        <w:t>Find more</w:t>
      </w:r>
      <w:r>
        <w:t xml:space="preserve"> resistance and backlash resources</w:t>
      </w:r>
      <w:r w:rsidRPr="002F38C9">
        <w:t>:</w:t>
      </w:r>
      <w:bookmarkEnd w:id="10"/>
      <w:bookmarkEnd w:id="11"/>
    </w:p>
    <w:p w14:paraId="5679A75B" w14:textId="77777777" w:rsidR="00D1279B" w:rsidRDefault="00D1279B" w:rsidP="00D1279B">
      <w:pPr>
        <w:pStyle w:val="ListParagraph"/>
        <w:numPr>
          <w:ilvl w:val="0"/>
          <w:numId w:val="8"/>
        </w:numPr>
      </w:pPr>
      <w:hyperlink r:id="rId10" w:history="1">
        <w:r w:rsidRPr="00493E34">
          <w:rPr>
            <w:rStyle w:val="Hyperlink"/>
          </w:rPr>
          <w:t>Unpacking Resistance training</w:t>
        </w:r>
      </w:hyperlink>
      <w:r>
        <w:t xml:space="preserve"> – Safe and Equal. </w:t>
      </w:r>
    </w:p>
    <w:p w14:paraId="1416214F" w14:textId="77777777" w:rsidR="00D1279B" w:rsidRPr="00175DE0" w:rsidRDefault="00D1279B" w:rsidP="00D1279B">
      <w:pPr>
        <w:pStyle w:val="ListParagraph"/>
        <w:numPr>
          <w:ilvl w:val="0"/>
          <w:numId w:val="8"/>
        </w:numPr>
      </w:pPr>
      <w:hyperlink r:id="rId11" w:history="1">
        <w:r w:rsidRPr="00493E34">
          <w:rPr>
            <w:rStyle w:val="Hyperlink"/>
          </w:rPr>
          <w:t>Overcoming Resistance and Backlash</w:t>
        </w:r>
      </w:hyperlink>
      <w:r>
        <w:t xml:space="preserve"> – Safe and Equal. </w:t>
      </w:r>
    </w:p>
    <w:p w14:paraId="30087F9C" w14:textId="77777777" w:rsidR="00D1279B" w:rsidRDefault="00D1279B" w:rsidP="00D1279B">
      <w:pPr>
        <w:pStyle w:val="Heading2"/>
      </w:pPr>
      <w:bookmarkStart w:id="12" w:name="_Toc149048862"/>
      <w:r>
        <w:t>Dealing with online abuse</w:t>
      </w:r>
      <w:bookmarkEnd w:id="12"/>
    </w:p>
    <w:p w14:paraId="51144815" w14:textId="77777777" w:rsidR="00D1279B" w:rsidRPr="006700A6" w:rsidRDefault="00D1279B" w:rsidP="00D1279B">
      <w:pPr>
        <w:rPr>
          <w:lang w:val="en-US"/>
        </w:rPr>
      </w:pPr>
      <w:r w:rsidRPr="006700A6">
        <w:rPr>
          <w:lang w:val="en-US"/>
        </w:rPr>
        <w:lastRenderedPageBreak/>
        <w:t>It’s easy for people to say online what they wouldn’t say in person – so resistance is often expressed through social media.</w:t>
      </w:r>
    </w:p>
    <w:p w14:paraId="121E2141" w14:textId="77777777" w:rsidR="00D1279B" w:rsidRPr="006700A6" w:rsidRDefault="00D1279B" w:rsidP="00D1279B">
      <w:pPr>
        <w:rPr>
          <w:lang w:val="en-US"/>
        </w:rPr>
      </w:pPr>
      <w:r w:rsidRPr="006700A6">
        <w:rPr>
          <w:lang w:val="en-US"/>
        </w:rPr>
        <w:t>As a social media moderator, it’s important to strike a balance between allowing audiences to self-moderate, and intervening when comments are offensive and derail constructive conversation.</w:t>
      </w:r>
    </w:p>
    <w:p w14:paraId="28EE6300" w14:textId="77777777" w:rsidR="00D1279B" w:rsidRDefault="00D1279B" w:rsidP="00D1279B">
      <w:pPr>
        <w:rPr>
          <w:lang w:val="en-US"/>
        </w:rPr>
      </w:pPr>
      <w:r w:rsidRPr="006700A6">
        <w:rPr>
          <w:lang w:val="en-US"/>
        </w:rPr>
        <w:t>Having clear moderation guidelines will support you to effectively manage resistance on online forums.</w:t>
      </w:r>
    </w:p>
    <w:p w14:paraId="5C58CD2B" w14:textId="77777777" w:rsidR="00D1279B" w:rsidRDefault="00D1279B" w:rsidP="00D1279B">
      <w:pPr>
        <w:pStyle w:val="Heading2"/>
      </w:pPr>
      <w:bookmarkStart w:id="13" w:name="_Toc149048863"/>
      <w:r>
        <w:t>How to frame responses to resistance</w:t>
      </w:r>
      <w:bookmarkEnd w:id="13"/>
    </w:p>
    <w:p w14:paraId="55C3C01D" w14:textId="518CD02B" w:rsidR="00D1279B" w:rsidRDefault="00D1279B" w:rsidP="00D1279B">
      <w:r>
        <w:t xml:space="preserve">Using values-based messaging as a framework can be a useful way to develop your response. </w:t>
      </w:r>
    </w:p>
    <w:p w14:paraId="51ADFC0A" w14:textId="77777777" w:rsidR="00D1279B" w:rsidRPr="005D4D73" w:rsidRDefault="00D1279B" w:rsidP="00D1279B">
      <w:r>
        <w:t xml:space="preserve">Remember: don’t get too caught up in an unproductive conversation with someone who is determined to not change their mind. Do use evidence to debunk their untrue statements, but don’t let them pull you into a repetitive or unproductive argument – move on and don’t let them frustrate you. </w:t>
      </w:r>
    </w:p>
    <w:p w14:paraId="1AAAEDDE" w14:textId="77777777" w:rsidR="00D1279B" w:rsidRDefault="00D1279B" w:rsidP="00D1279B">
      <w:pPr>
        <w:pStyle w:val="Heading3"/>
      </w:pPr>
      <w:bookmarkStart w:id="14" w:name="_Toc149048864"/>
      <w:r>
        <w:t>Example resistance statement response</w:t>
      </w:r>
      <w:bookmarkEnd w:id="14"/>
    </w:p>
    <w:p w14:paraId="2A741625" w14:textId="221AF1DE" w:rsidR="00D1279B" w:rsidRPr="00D8053B" w:rsidRDefault="00D1279B" w:rsidP="00D1279B">
      <w:r>
        <w:rPr>
          <w:lang w:val="en-US"/>
        </w:rPr>
        <w:t xml:space="preserve">A common resistance question can be, “What about violence against men?” </w:t>
      </w:r>
      <w:r w:rsidRPr="006700A6">
        <w:rPr>
          <w:lang w:val="en-US"/>
        </w:rPr>
        <w:t xml:space="preserve">The following example shows how </w:t>
      </w:r>
      <w:r>
        <w:rPr>
          <w:lang w:val="en-US"/>
        </w:rPr>
        <w:t>you could frame your response</w:t>
      </w:r>
      <w:r w:rsidRPr="006700A6">
        <w:rPr>
          <w:lang w:val="en-US"/>
        </w:rPr>
        <w:t>, using values</w:t>
      </w:r>
      <w:r>
        <w:rPr>
          <w:lang w:val="en-US"/>
        </w:rPr>
        <w:t>-</w:t>
      </w:r>
      <w:r w:rsidRPr="006700A6">
        <w:rPr>
          <w:lang w:val="en-US"/>
        </w:rPr>
        <w:t>based messaging. We’ve used statistics from Safe and Equal’s Fast Facts 2023 to reinforce the message.</w:t>
      </w:r>
    </w:p>
    <w:p w14:paraId="428261A2" w14:textId="77777777" w:rsidR="00D1279B" w:rsidRDefault="00D1279B" w:rsidP="00D1279B">
      <w:pPr>
        <w:pStyle w:val="Heading4"/>
        <w:rPr>
          <w:lang w:eastAsia="en-AU"/>
        </w:rPr>
      </w:pPr>
      <w:r>
        <w:rPr>
          <w:lang w:eastAsia="en-AU"/>
        </w:rPr>
        <w:t>Vision</w:t>
      </w:r>
    </w:p>
    <w:p w14:paraId="1EE855AD" w14:textId="77777777" w:rsidR="00D1279B" w:rsidRDefault="00D1279B" w:rsidP="00D1279B">
      <w:r w:rsidRPr="006700A6">
        <w:t>I agree with you that all forms of violence and discrimination are unacceptable.</w:t>
      </w:r>
    </w:p>
    <w:p w14:paraId="522B8ECF" w14:textId="77777777" w:rsidR="00D1279B" w:rsidRDefault="00D1279B" w:rsidP="00D1279B">
      <w:pPr>
        <w:pStyle w:val="Heading4"/>
        <w:rPr>
          <w:lang w:eastAsia="en-AU"/>
        </w:rPr>
      </w:pPr>
      <w:r>
        <w:rPr>
          <w:lang w:eastAsia="en-AU"/>
        </w:rPr>
        <w:t>Barrier</w:t>
      </w:r>
    </w:p>
    <w:p w14:paraId="6C12878B" w14:textId="77777777" w:rsidR="00D1279B" w:rsidRPr="00AF6E05" w:rsidRDefault="00D1279B" w:rsidP="00D1279B">
      <w:r w:rsidRPr="006700A6">
        <w:t xml:space="preserve">Men and women experience family violence, most commonly from a male perpetrator. This campaign focuses on violence against women because there is clear evidence that women experience violence at disproportionate rates. Women also experience casual and structural sexism daily in a way that men do not. </w:t>
      </w:r>
    </w:p>
    <w:p w14:paraId="1DE6D25D" w14:textId="77777777" w:rsidR="00D1279B" w:rsidRDefault="00D1279B" w:rsidP="00D1279B">
      <w:pPr>
        <w:rPr>
          <w:lang w:val="en-US"/>
        </w:rPr>
      </w:pPr>
      <w:r w:rsidRPr="006700A6">
        <w:rPr>
          <w:lang w:val="en-US"/>
        </w:rPr>
        <w:t>Most family and gender-based violence is perpetrated by cisgender men against women, children, LGBTIQ+ people – as well as other men. 95% of all victims, regardless of gender, experience violence from a male perpetrator.</w:t>
      </w:r>
    </w:p>
    <w:p w14:paraId="3B20FECB" w14:textId="77777777" w:rsidR="00D1279B" w:rsidRDefault="00D1279B" w:rsidP="00D1279B">
      <w:pPr>
        <w:pStyle w:val="Heading4"/>
        <w:rPr>
          <w:lang w:eastAsia="en-AU"/>
        </w:rPr>
      </w:pPr>
      <w:r>
        <w:rPr>
          <w:lang w:eastAsia="en-AU"/>
        </w:rPr>
        <w:t>Solution</w:t>
      </w:r>
    </w:p>
    <w:p w14:paraId="7BDB96BF" w14:textId="77777777" w:rsidR="00D1279B" w:rsidRPr="00AF6E05" w:rsidRDefault="00D1279B" w:rsidP="00D1279B">
      <w:pPr>
        <w:rPr>
          <w:lang w:eastAsia="en-AU"/>
        </w:rPr>
      </w:pPr>
      <w:r w:rsidRPr="006700A6">
        <w:t xml:space="preserve">Advocating for the safety, equality and rights of women doesn’t detract from the safety, </w:t>
      </w:r>
      <w:proofErr w:type="gramStart"/>
      <w:r w:rsidRPr="006700A6">
        <w:t>equality</w:t>
      </w:r>
      <w:proofErr w:type="gramEnd"/>
      <w:r w:rsidRPr="006700A6">
        <w:t xml:space="preserve"> and rights of others. We are trying to create a society where we are all safe, </w:t>
      </w:r>
      <w:proofErr w:type="gramStart"/>
      <w:r w:rsidRPr="006700A6">
        <w:t>equal</w:t>
      </w:r>
      <w:proofErr w:type="gramEnd"/>
      <w:r w:rsidRPr="006700A6">
        <w:t xml:space="preserve"> and respected – which means challenging the underlying conditions that drive violence against women.</w:t>
      </w:r>
    </w:p>
    <w:p w14:paraId="323317E5" w14:textId="77777777" w:rsidR="00D1279B" w:rsidRDefault="00D1279B" w:rsidP="00D1279B">
      <w:pPr>
        <w:pStyle w:val="Heading3"/>
      </w:pPr>
      <w:bookmarkStart w:id="15" w:name="_Toc149048505"/>
      <w:bookmarkStart w:id="16" w:name="_Toc149048865"/>
      <w:r>
        <w:t>Find more resources to prepare for resistance:</w:t>
      </w:r>
      <w:bookmarkEnd w:id="15"/>
      <w:bookmarkEnd w:id="16"/>
    </w:p>
    <w:p w14:paraId="6D28856E" w14:textId="77777777" w:rsidR="00D1279B" w:rsidRPr="00D2615B" w:rsidRDefault="00D1279B" w:rsidP="00D1279B">
      <w:pPr>
        <w:pStyle w:val="ListParagraph"/>
        <w:numPr>
          <w:ilvl w:val="0"/>
          <w:numId w:val="9"/>
        </w:numPr>
        <w:spacing w:line="240" w:lineRule="auto"/>
        <w:rPr>
          <w:rFonts w:eastAsia="Arial"/>
          <w:color w:val="003639" w:themeColor="text1"/>
        </w:rPr>
      </w:pPr>
      <w:hyperlink r:id="rId12">
        <w:r w:rsidRPr="668B2AF2">
          <w:rPr>
            <w:rStyle w:val="Hyperlink"/>
          </w:rPr>
          <w:t>Overcoming Resistance and Backlash – a Guide for Primary Prevention Practitioners</w:t>
        </w:r>
      </w:hyperlink>
      <w:r w:rsidRPr="668B2AF2">
        <w:rPr>
          <w:rFonts w:eastAsia="Arial"/>
          <w:color w:val="003639" w:themeColor="text2"/>
        </w:rPr>
        <w:t xml:space="preserve"> – Safe and Equal.</w:t>
      </w:r>
    </w:p>
    <w:p w14:paraId="4693B39D" w14:textId="77777777" w:rsidR="00D1279B" w:rsidRPr="00C733A6" w:rsidRDefault="00D1279B" w:rsidP="00D1279B">
      <w:pPr>
        <w:pStyle w:val="ListParagraph"/>
        <w:numPr>
          <w:ilvl w:val="0"/>
          <w:numId w:val="9"/>
        </w:numPr>
        <w:spacing w:line="240" w:lineRule="auto"/>
        <w:rPr>
          <w:rFonts w:eastAsia="Arial"/>
          <w:color w:val="003639" w:themeColor="text1"/>
        </w:rPr>
      </w:pPr>
      <w:hyperlink r:id="rId13">
        <w:r w:rsidRPr="00D2615B">
          <w:rPr>
            <w:rStyle w:val="Hyperlink"/>
            <w:rFonts w:eastAsia="Arial"/>
          </w:rPr>
          <w:t>Encountering resistance: Strategies to respond to resistance to gender equality initiatives</w:t>
        </w:r>
      </w:hyperlink>
      <w:r w:rsidRPr="00D2615B">
        <w:rPr>
          <w:rFonts w:eastAsia="Arial"/>
          <w:b/>
          <w:bCs/>
          <w:color w:val="003639" w:themeColor="text1"/>
        </w:rPr>
        <w:t xml:space="preserve"> </w:t>
      </w:r>
      <w:r w:rsidRPr="00D2615B">
        <w:rPr>
          <w:rFonts w:eastAsia="Arial"/>
          <w:color w:val="003639" w:themeColor="text1"/>
        </w:rPr>
        <w:t>– VicHealth.</w:t>
      </w:r>
      <w:r w:rsidRPr="00C733A6">
        <w:rPr>
          <w:rFonts w:eastAsia="Arial"/>
          <w:color w:val="003639" w:themeColor="text1"/>
        </w:rPr>
        <w:br w:type="page"/>
      </w:r>
    </w:p>
    <w:p w14:paraId="2B5E622E" w14:textId="77777777" w:rsidR="00D1279B" w:rsidRDefault="00D1279B" w:rsidP="00D1279B">
      <w:pPr>
        <w:pStyle w:val="Heading1"/>
      </w:pPr>
      <w:bookmarkStart w:id="17" w:name="_Support_services_and"/>
      <w:bookmarkStart w:id="18" w:name="_Toc1575746306"/>
      <w:bookmarkStart w:id="19" w:name="_Toc149241669"/>
      <w:bookmarkEnd w:id="17"/>
      <w:r>
        <w:lastRenderedPageBreak/>
        <w:t>Support services and referrals</w:t>
      </w:r>
      <w:bookmarkEnd w:id="18"/>
      <w:bookmarkEnd w:id="19"/>
    </w:p>
    <w:p w14:paraId="5EE957E0" w14:textId="77777777" w:rsidR="00D1279B" w:rsidRDefault="00D1279B" w:rsidP="00D1279B">
      <w:pPr>
        <w:rPr>
          <w:lang w:val="en-US"/>
        </w:rPr>
      </w:pPr>
      <w:r w:rsidRPr="00410410">
        <w:rPr>
          <w:lang w:val="en-US"/>
        </w:rPr>
        <w:t xml:space="preserve">During the 16 Days of Activism – and beyond – it’s important to let your community know where they can find further support. Make sure you have </w:t>
      </w:r>
      <w:r>
        <w:rPr>
          <w:lang w:val="en-US"/>
        </w:rPr>
        <w:t>the Support Services</w:t>
      </w:r>
      <w:r w:rsidRPr="00410410">
        <w:rPr>
          <w:lang w:val="en-US"/>
        </w:rPr>
        <w:t xml:space="preserve"> poster displayed and available as a handout.</w:t>
      </w:r>
    </w:p>
    <w:p w14:paraId="38DD0C0F" w14:textId="639E57B4" w:rsidR="00D1279B" w:rsidRPr="00B7402C" w:rsidRDefault="00D1279B" w:rsidP="00D1279B">
      <w:pPr>
        <w:rPr>
          <w:lang w:val="en-US"/>
        </w:rPr>
      </w:pPr>
      <w:hyperlink r:id="rId14" w:history="1">
        <w:r w:rsidRPr="00D1279B">
          <w:rPr>
            <w:rStyle w:val="Hyperlink"/>
            <w:lang w:val="en-US"/>
          </w:rPr>
          <w:t>Download the Support Services poster, using Digital Pigeon</w:t>
        </w:r>
      </w:hyperlink>
      <w:r>
        <w:rPr>
          <w:lang w:val="en-US"/>
        </w:rPr>
        <w:t xml:space="preserve">. </w:t>
      </w:r>
    </w:p>
    <w:p w14:paraId="13247391" w14:textId="77777777" w:rsidR="00D1279B" w:rsidRPr="00B7402C" w:rsidRDefault="00D1279B" w:rsidP="00D1279B">
      <w:pPr>
        <w:rPr>
          <w:lang w:val="en-US"/>
        </w:rPr>
      </w:pPr>
      <w:r w:rsidRPr="00B7402C">
        <w:rPr>
          <w:lang w:val="en-US"/>
        </w:rPr>
        <w:t xml:space="preserve">At a minimum, the Safe Steps phone number should be included on any collateral you are creating for the 16 Days of Activism. </w:t>
      </w:r>
    </w:p>
    <w:p w14:paraId="78724C87" w14:textId="77777777" w:rsidR="00D1279B" w:rsidRDefault="00D1279B" w:rsidP="00D1279B">
      <w:pPr>
        <w:rPr>
          <w:color w:val="000000"/>
        </w:rPr>
      </w:pPr>
      <w:r w:rsidRPr="00410410">
        <w:rPr>
          <w:color w:val="000000"/>
        </w:rPr>
        <w:t>If you believe someone is in immediate danger, call 000 and ask for the police. If you or someone you know is experiencing family violence, help is available.</w:t>
      </w:r>
    </w:p>
    <w:p w14:paraId="53EEC27D" w14:textId="77777777" w:rsidR="00D1279B" w:rsidRDefault="00D1279B" w:rsidP="00D1279B">
      <w:pPr>
        <w:spacing w:line="259" w:lineRule="auto"/>
        <w:rPr>
          <w:color w:val="000000"/>
        </w:rPr>
      </w:pPr>
      <w:r>
        <w:rPr>
          <w:color w:val="000000"/>
        </w:rPr>
        <w:br w:type="page"/>
      </w:r>
    </w:p>
    <w:p w14:paraId="09A82189" w14:textId="77777777" w:rsidR="00D1279B" w:rsidRDefault="00D1279B" w:rsidP="00D1279B">
      <w:pPr>
        <w:pStyle w:val="Heading1"/>
      </w:pPr>
      <w:bookmarkStart w:id="20" w:name="_Toc1644657608"/>
      <w:bookmarkStart w:id="21" w:name="_Toc149241670"/>
      <w:r>
        <w:lastRenderedPageBreak/>
        <w:t>Glossary of key terms</w:t>
      </w:r>
      <w:bookmarkEnd w:id="20"/>
      <w:bookmarkEnd w:id="21"/>
    </w:p>
    <w:p w14:paraId="121B3C5F" w14:textId="77777777" w:rsidR="00D1279B" w:rsidRPr="00410410" w:rsidRDefault="00D1279B" w:rsidP="00D1279B">
      <w:pPr>
        <w:pStyle w:val="Heading2"/>
        <w:rPr>
          <w:lang w:val="en-US"/>
        </w:rPr>
      </w:pPr>
      <w:bookmarkStart w:id="22" w:name="_Toc149048508"/>
      <w:bookmarkStart w:id="23" w:name="_Toc149048868"/>
      <w:r w:rsidRPr="00410410">
        <w:rPr>
          <w:lang w:val="en-US"/>
        </w:rPr>
        <w:t>Backlash</w:t>
      </w:r>
      <w:bookmarkEnd w:id="22"/>
      <w:bookmarkEnd w:id="23"/>
    </w:p>
    <w:p w14:paraId="39E7B372" w14:textId="77777777" w:rsidR="00D1279B" w:rsidRPr="00410410" w:rsidRDefault="00D1279B" w:rsidP="00D1279B">
      <w:pPr>
        <w:rPr>
          <w:color w:val="00333D"/>
          <w:lang w:val="en-US"/>
        </w:rPr>
      </w:pPr>
      <w:r w:rsidRPr="00410410">
        <w:rPr>
          <w:color w:val="00333D"/>
          <w:lang w:val="en-US"/>
        </w:rPr>
        <w:t xml:space="preserve">Describes extreme, aggressive, or </w:t>
      </w:r>
      <w:proofErr w:type="spellStart"/>
      <w:r w:rsidRPr="00410410">
        <w:rPr>
          <w:color w:val="00333D"/>
          <w:lang w:val="en-US"/>
        </w:rPr>
        <w:t>organised</w:t>
      </w:r>
      <w:proofErr w:type="spellEnd"/>
      <w:r w:rsidRPr="00410410">
        <w:rPr>
          <w:color w:val="00333D"/>
          <w:lang w:val="en-US"/>
        </w:rPr>
        <w:t xml:space="preserve"> forms of resistance to preventing gendered violence. Resistance can range from denial to passive attempts to maintain the status quo. Examples may include men’s rights groups inciting misogyny or online trolls abusing social commentators.</w:t>
      </w:r>
    </w:p>
    <w:p w14:paraId="08DBF954" w14:textId="77777777" w:rsidR="00D1279B" w:rsidRPr="00410410" w:rsidRDefault="00D1279B" w:rsidP="00D1279B">
      <w:pPr>
        <w:pStyle w:val="Heading2"/>
        <w:rPr>
          <w:lang w:val="en-US"/>
        </w:rPr>
      </w:pPr>
      <w:bookmarkStart w:id="24" w:name="_Toc149048509"/>
      <w:bookmarkStart w:id="25" w:name="_Toc149048869"/>
      <w:r w:rsidRPr="00410410">
        <w:rPr>
          <w:lang w:val="en-US"/>
        </w:rPr>
        <w:t>Coercive control</w:t>
      </w:r>
      <w:bookmarkEnd w:id="24"/>
      <w:bookmarkEnd w:id="25"/>
    </w:p>
    <w:p w14:paraId="79F8C7FB" w14:textId="77777777" w:rsidR="00D1279B" w:rsidRPr="00410410" w:rsidRDefault="00D1279B" w:rsidP="00D1279B">
      <w:pPr>
        <w:rPr>
          <w:color w:val="00333D"/>
          <w:lang w:val="en-US"/>
        </w:rPr>
      </w:pPr>
      <w:r w:rsidRPr="00410410">
        <w:rPr>
          <w:color w:val="00333D"/>
          <w:lang w:val="en-US"/>
        </w:rPr>
        <w:t xml:space="preserve">Coercive control is defined as a course of conduct or </w:t>
      </w:r>
      <w:proofErr w:type="spellStart"/>
      <w:r w:rsidRPr="00410410">
        <w:rPr>
          <w:color w:val="00333D"/>
          <w:lang w:val="en-US"/>
        </w:rPr>
        <w:t>behaviour</w:t>
      </w:r>
      <w:proofErr w:type="spellEnd"/>
      <w:r w:rsidRPr="00410410">
        <w:rPr>
          <w:color w:val="00333D"/>
          <w:lang w:val="en-US"/>
        </w:rPr>
        <w:t xml:space="preserve"> that is aimed at dominating and controlling another person. Coercive control can involve strategies like physical, sexual, verbal and/ or emotional abuse; psychologically controlling acts and manipulation; depriving someone of resources and other forms of financial abuse; social isolation; exploiting systems, including the legal system to perpetrate harm; stalking, deprivation of liberty; intimidation; technology-facilitated abuse; and harassment (ANROWS, 2021).</w:t>
      </w:r>
    </w:p>
    <w:p w14:paraId="581CD86D" w14:textId="77777777" w:rsidR="00D1279B" w:rsidRPr="00410410" w:rsidRDefault="00D1279B" w:rsidP="00D1279B">
      <w:pPr>
        <w:pStyle w:val="Heading2"/>
        <w:rPr>
          <w:lang w:val="en-US"/>
        </w:rPr>
      </w:pPr>
      <w:bookmarkStart w:id="26" w:name="_Toc149048510"/>
      <w:bookmarkStart w:id="27" w:name="_Toc149048870"/>
      <w:r w:rsidRPr="00410410">
        <w:rPr>
          <w:lang w:val="en-US"/>
        </w:rPr>
        <w:t>Disclosure</w:t>
      </w:r>
      <w:bookmarkEnd w:id="26"/>
      <w:bookmarkEnd w:id="27"/>
    </w:p>
    <w:p w14:paraId="65A7AB55" w14:textId="77777777" w:rsidR="00D1279B" w:rsidRPr="00410410" w:rsidRDefault="00D1279B" w:rsidP="00D1279B">
      <w:pPr>
        <w:rPr>
          <w:color w:val="00333D"/>
          <w:lang w:val="en-US"/>
        </w:rPr>
      </w:pPr>
      <w:r w:rsidRPr="00410410">
        <w:rPr>
          <w:color w:val="00333D"/>
          <w:lang w:val="en-US"/>
        </w:rPr>
        <w:t>Occurs when someone tells another person about violence they have experienced, perpetrated, or witnessed. Undertaking prevention of violence against women activities can</w:t>
      </w:r>
      <w:r>
        <w:rPr>
          <w:color w:val="00333D"/>
          <w:lang w:val="en-US"/>
        </w:rPr>
        <w:t xml:space="preserve"> </w:t>
      </w:r>
      <w:r w:rsidRPr="00410410">
        <w:rPr>
          <w:color w:val="00333D"/>
          <w:lang w:val="en-US"/>
        </w:rPr>
        <w:t>lead to an increase</w:t>
      </w:r>
      <w:r>
        <w:rPr>
          <w:color w:val="00333D"/>
          <w:lang w:val="en-US"/>
        </w:rPr>
        <w:t xml:space="preserve"> </w:t>
      </w:r>
      <w:r w:rsidRPr="00410410">
        <w:rPr>
          <w:color w:val="00333D"/>
          <w:lang w:val="en-US"/>
        </w:rPr>
        <w:t xml:space="preserve">in disclosures as people learn more about harmful attitudes and </w:t>
      </w:r>
      <w:proofErr w:type="spellStart"/>
      <w:r w:rsidRPr="00410410">
        <w:rPr>
          <w:color w:val="00333D"/>
          <w:lang w:val="en-US"/>
        </w:rPr>
        <w:t>behaviours</w:t>
      </w:r>
      <w:proofErr w:type="spellEnd"/>
      <w:r w:rsidRPr="00410410">
        <w:rPr>
          <w:color w:val="00333D"/>
          <w:lang w:val="en-US"/>
        </w:rPr>
        <w:t xml:space="preserve"> and think about their own lives. In some cases, it is because the activity has created a safe space for people to discuss their experiences.</w:t>
      </w:r>
    </w:p>
    <w:p w14:paraId="6C64BEA2" w14:textId="77777777" w:rsidR="00D1279B" w:rsidRPr="00410410" w:rsidRDefault="00D1279B" w:rsidP="00D1279B">
      <w:pPr>
        <w:pStyle w:val="Heading2"/>
        <w:rPr>
          <w:lang w:val="en-US"/>
        </w:rPr>
      </w:pPr>
      <w:bookmarkStart w:id="28" w:name="_Toc149048511"/>
      <w:bookmarkStart w:id="29" w:name="_Toc149048871"/>
      <w:r w:rsidRPr="00410410">
        <w:rPr>
          <w:lang w:val="en-US"/>
        </w:rPr>
        <w:t>Domestic violence</w:t>
      </w:r>
      <w:bookmarkEnd w:id="28"/>
      <w:bookmarkEnd w:id="29"/>
    </w:p>
    <w:p w14:paraId="6FF23620" w14:textId="77777777" w:rsidR="00D1279B" w:rsidRPr="00410410" w:rsidRDefault="00D1279B" w:rsidP="00D1279B">
      <w:pPr>
        <w:rPr>
          <w:color w:val="00333D"/>
          <w:lang w:val="en-US"/>
        </w:rPr>
      </w:pPr>
      <w:r w:rsidRPr="00410410">
        <w:rPr>
          <w:color w:val="00333D"/>
          <w:lang w:val="en-US"/>
        </w:rPr>
        <w:t>Is sometimes interchanged with ‘family violence’. Victorian legislation and policy documentation uses the term ‘family violence’ as it is more inclusive of diverse family units and kinship networks. As noted below ‘family violence’ encompasses more than just violence occurring in a domestic situation.</w:t>
      </w:r>
    </w:p>
    <w:p w14:paraId="3A134B68" w14:textId="77777777" w:rsidR="00D1279B" w:rsidRPr="00410410" w:rsidRDefault="00D1279B" w:rsidP="00D1279B">
      <w:pPr>
        <w:pStyle w:val="Heading2"/>
        <w:rPr>
          <w:lang w:val="en-US"/>
        </w:rPr>
      </w:pPr>
      <w:bookmarkStart w:id="30" w:name="_Toc149048512"/>
      <w:bookmarkStart w:id="31" w:name="_Toc149048872"/>
      <w:r w:rsidRPr="00410410">
        <w:rPr>
          <w:lang w:val="en-US"/>
        </w:rPr>
        <w:t>Family violence</w:t>
      </w:r>
      <w:bookmarkEnd w:id="30"/>
      <w:bookmarkEnd w:id="31"/>
    </w:p>
    <w:p w14:paraId="1140B046" w14:textId="77777777" w:rsidR="00D1279B" w:rsidRPr="00410410" w:rsidRDefault="00D1279B" w:rsidP="00D1279B">
      <w:pPr>
        <w:rPr>
          <w:color w:val="00333D"/>
          <w:lang w:val="en-US"/>
        </w:rPr>
      </w:pPr>
      <w:r w:rsidRPr="00410410">
        <w:rPr>
          <w:color w:val="00333D"/>
          <w:lang w:val="en-US"/>
        </w:rPr>
        <w:t xml:space="preserve">Involves patterns of coercive, controlling, and abusive behaviors inflicted on victim survivors resulting in fear for their own or someone else’s safety and wellbeing. Family violence can take many forms </w:t>
      </w:r>
      <w:r w:rsidRPr="00B06A64">
        <w:rPr>
          <w:color w:val="00333D"/>
          <w:lang w:val="en-US"/>
        </w:rPr>
        <w:t xml:space="preserve">including </w:t>
      </w:r>
      <w:r w:rsidRPr="00410410">
        <w:rPr>
          <w:color w:val="00333D"/>
          <w:lang w:val="en-US"/>
        </w:rPr>
        <w:t>coercive control, physical, sexual, psychological, emotional, and cultural violence. It also includes financial/economic abuse and technology-facilitated abuse.</w:t>
      </w:r>
    </w:p>
    <w:p w14:paraId="79B71896" w14:textId="77777777" w:rsidR="00D1279B" w:rsidRDefault="00D1279B" w:rsidP="00D1279B">
      <w:pPr>
        <w:rPr>
          <w:color w:val="00333D"/>
          <w:lang w:val="en-US"/>
        </w:rPr>
      </w:pPr>
      <w:r w:rsidRPr="00B06A64">
        <w:rPr>
          <w:color w:val="00333D"/>
          <w:lang w:val="en-US"/>
        </w:rPr>
        <w:t>Family violence can occur within a diverse range of family units including:</w:t>
      </w:r>
    </w:p>
    <w:p w14:paraId="00372450" w14:textId="77777777" w:rsidR="00D1279B" w:rsidRPr="003B4DD6" w:rsidRDefault="00D1279B" w:rsidP="00D1279B">
      <w:pPr>
        <w:pStyle w:val="ListParagraph"/>
        <w:numPr>
          <w:ilvl w:val="0"/>
          <w:numId w:val="10"/>
        </w:numPr>
        <w:rPr>
          <w:color w:val="00333D"/>
          <w:lang w:val="en-US"/>
        </w:rPr>
      </w:pPr>
      <w:r w:rsidRPr="003B4DD6">
        <w:rPr>
          <w:color w:val="00333D"/>
          <w:lang w:val="en-US"/>
        </w:rPr>
        <w:t xml:space="preserve">intimate partners (current or former): married or de facto couples with or without </w:t>
      </w:r>
      <w:proofErr w:type="gramStart"/>
      <w:r w:rsidRPr="003B4DD6">
        <w:rPr>
          <w:color w:val="00333D"/>
          <w:lang w:val="en-US"/>
        </w:rPr>
        <w:t>children</w:t>
      </w:r>
      <w:proofErr w:type="gramEnd"/>
    </w:p>
    <w:p w14:paraId="5E78C13D" w14:textId="77777777" w:rsidR="00D1279B" w:rsidRPr="003B4DD6" w:rsidRDefault="00D1279B" w:rsidP="00D1279B">
      <w:pPr>
        <w:pStyle w:val="ListParagraph"/>
        <w:numPr>
          <w:ilvl w:val="0"/>
          <w:numId w:val="10"/>
        </w:numPr>
        <w:rPr>
          <w:color w:val="00333D"/>
          <w:lang w:val="en-US"/>
        </w:rPr>
      </w:pPr>
      <w:r w:rsidRPr="003B4DD6">
        <w:rPr>
          <w:color w:val="00333D"/>
          <w:lang w:val="en-US"/>
        </w:rPr>
        <w:t xml:space="preserve">other family members; including siblings, step-relations, extended kinship </w:t>
      </w:r>
      <w:proofErr w:type="gramStart"/>
      <w:r w:rsidRPr="003B4DD6">
        <w:rPr>
          <w:color w:val="00333D"/>
          <w:lang w:val="en-US"/>
        </w:rPr>
        <w:t>connections</w:t>
      </w:r>
      <w:proofErr w:type="gramEnd"/>
    </w:p>
    <w:p w14:paraId="599A397F" w14:textId="77777777" w:rsidR="00D1279B" w:rsidRPr="003B4DD6" w:rsidRDefault="00D1279B" w:rsidP="00D1279B">
      <w:pPr>
        <w:pStyle w:val="ListParagraph"/>
        <w:numPr>
          <w:ilvl w:val="0"/>
          <w:numId w:val="10"/>
        </w:numPr>
        <w:rPr>
          <w:color w:val="00333D"/>
          <w:lang w:val="en-US"/>
        </w:rPr>
      </w:pPr>
      <w:r w:rsidRPr="003B4DD6">
        <w:rPr>
          <w:color w:val="00333D"/>
          <w:lang w:val="en-US"/>
        </w:rPr>
        <w:t>adolescent or adult children and their parents</w:t>
      </w:r>
    </w:p>
    <w:p w14:paraId="0C9C9A6D" w14:textId="77777777" w:rsidR="00D1279B" w:rsidRPr="003B4DD6" w:rsidRDefault="00D1279B" w:rsidP="00D1279B">
      <w:pPr>
        <w:pStyle w:val="ListParagraph"/>
        <w:numPr>
          <w:ilvl w:val="0"/>
          <w:numId w:val="10"/>
        </w:numPr>
        <w:rPr>
          <w:color w:val="00333D"/>
          <w:lang w:val="en-US"/>
        </w:rPr>
      </w:pPr>
      <w:r w:rsidRPr="003B4DD6">
        <w:rPr>
          <w:color w:val="00333D"/>
          <w:lang w:val="en-US"/>
        </w:rPr>
        <w:t>older people and their adult children, relatives, or carers</w:t>
      </w:r>
    </w:p>
    <w:p w14:paraId="6EDD008A" w14:textId="77777777" w:rsidR="00D1279B" w:rsidRPr="003B4DD6" w:rsidRDefault="00D1279B" w:rsidP="00D1279B">
      <w:pPr>
        <w:pStyle w:val="ListParagraph"/>
        <w:numPr>
          <w:ilvl w:val="0"/>
          <w:numId w:val="10"/>
        </w:numPr>
        <w:rPr>
          <w:color w:val="00333D"/>
          <w:lang w:val="en-US"/>
        </w:rPr>
      </w:pPr>
      <w:r w:rsidRPr="003B4DD6">
        <w:rPr>
          <w:color w:val="00333D"/>
          <w:lang w:val="en-US"/>
        </w:rPr>
        <w:lastRenderedPageBreak/>
        <w:t>people with disabilities and their relatives or carers</w:t>
      </w:r>
    </w:p>
    <w:p w14:paraId="2F6AB022" w14:textId="77777777" w:rsidR="00D1279B" w:rsidRPr="003B4DD6" w:rsidRDefault="00D1279B" w:rsidP="00D1279B">
      <w:pPr>
        <w:pStyle w:val="ListParagraph"/>
        <w:numPr>
          <w:ilvl w:val="0"/>
          <w:numId w:val="10"/>
        </w:numPr>
        <w:rPr>
          <w:color w:val="00333D"/>
          <w:sz w:val="23"/>
          <w:szCs w:val="23"/>
          <w:lang w:val="en-US"/>
        </w:rPr>
      </w:pPr>
      <w:r w:rsidRPr="003B4DD6">
        <w:rPr>
          <w:color w:val="00333D"/>
          <w:lang w:val="en-US"/>
        </w:rPr>
        <w:t>other family members; including but not limited to siblings, step-relations, chosen family, extended family members, kinship networks and communities.</w:t>
      </w:r>
    </w:p>
    <w:p w14:paraId="2AF3E7E3" w14:textId="77777777" w:rsidR="00D1279B" w:rsidRPr="00B06A64" w:rsidRDefault="00D1279B" w:rsidP="00D1279B">
      <w:pPr>
        <w:pStyle w:val="Heading2"/>
        <w:rPr>
          <w:lang w:val="en-US"/>
        </w:rPr>
      </w:pPr>
      <w:bookmarkStart w:id="32" w:name="_Toc149048513"/>
      <w:bookmarkStart w:id="33" w:name="_Toc149048873"/>
      <w:r w:rsidRPr="00B06A64">
        <w:rPr>
          <w:lang w:val="en-US"/>
        </w:rPr>
        <w:t>Gender-based violence</w:t>
      </w:r>
      <w:bookmarkEnd w:id="32"/>
      <w:bookmarkEnd w:id="33"/>
    </w:p>
    <w:p w14:paraId="6A13B9A4" w14:textId="77777777" w:rsidR="00D1279B" w:rsidRPr="00B06A64" w:rsidRDefault="00D1279B" w:rsidP="00D1279B">
      <w:pPr>
        <w:rPr>
          <w:color w:val="00333D"/>
          <w:lang w:val="en-US"/>
        </w:rPr>
      </w:pPr>
      <w:r w:rsidRPr="00B06A64">
        <w:rPr>
          <w:color w:val="00333D"/>
          <w:lang w:val="en-US"/>
        </w:rPr>
        <w:t>Describes violence rooted in gender-based power, inequality, and discrimination.</w:t>
      </w:r>
    </w:p>
    <w:p w14:paraId="11C5C20A" w14:textId="77777777" w:rsidR="00D1279B" w:rsidRPr="00B06A64" w:rsidRDefault="00D1279B" w:rsidP="00D1279B">
      <w:pPr>
        <w:rPr>
          <w:color w:val="00333D"/>
          <w:lang w:val="en-US"/>
        </w:rPr>
      </w:pPr>
      <w:r w:rsidRPr="00B06A64">
        <w:rPr>
          <w:color w:val="00333D"/>
          <w:lang w:val="en-US"/>
        </w:rPr>
        <w:t xml:space="preserve">Gender-based violence causes or can cause physical, sexual, psychological, or financial harm. It can occur in the home, at work, online or in public. People </w:t>
      </w:r>
      <w:r>
        <w:rPr>
          <w:color w:val="00333D"/>
          <w:lang w:val="en-US"/>
        </w:rPr>
        <w:t>of all</w:t>
      </w:r>
      <w:r w:rsidRPr="00B06A64">
        <w:rPr>
          <w:color w:val="00333D"/>
          <w:lang w:val="en-US"/>
        </w:rPr>
        <w:t xml:space="preserve"> genders can experience gender-based violence, including transgender and/or non-binary people.</w:t>
      </w:r>
    </w:p>
    <w:p w14:paraId="6AB1BDF7" w14:textId="77777777" w:rsidR="00D1279B" w:rsidRPr="00B06A64" w:rsidRDefault="00D1279B" w:rsidP="00D1279B">
      <w:pPr>
        <w:rPr>
          <w:color w:val="00333D"/>
          <w:lang w:val="en-US"/>
        </w:rPr>
      </w:pPr>
      <w:r w:rsidRPr="00B06A64">
        <w:rPr>
          <w:color w:val="00333D"/>
          <w:lang w:val="en-US"/>
        </w:rPr>
        <w:t>Gender-based violence is sometimes used interchangeably with ‘violence against women’ because of the disproportionate number of women and girls who experience violence.</w:t>
      </w:r>
    </w:p>
    <w:p w14:paraId="3FD19FBF" w14:textId="77777777" w:rsidR="00D1279B" w:rsidRPr="00B06A64" w:rsidRDefault="00D1279B" w:rsidP="00D1279B">
      <w:pPr>
        <w:pStyle w:val="Heading2"/>
        <w:rPr>
          <w:lang w:val="en-US"/>
        </w:rPr>
      </w:pPr>
      <w:bookmarkStart w:id="34" w:name="_Toc149048514"/>
      <w:bookmarkStart w:id="35" w:name="_Toc149048874"/>
      <w:r w:rsidRPr="00B06A64">
        <w:rPr>
          <w:lang w:val="en-US"/>
        </w:rPr>
        <w:t>Gender equality</w:t>
      </w:r>
      <w:bookmarkEnd w:id="34"/>
      <w:bookmarkEnd w:id="35"/>
    </w:p>
    <w:p w14:paraId="67EA3541" w14:textId="77777777" w:rsidR="00D1279B" w:rsidRPr="00B06A64" w:rsidRDefault="00D1279B" w:rsidP="00D1279B">
      <w:pPr>
        <w:rPr>
          <w:color w:val="00333D"/>
          <w:lang w:val="en-US"/>
        </w:rPr>
      </w:pPr>
      <w:r w:rsidRPr="00B06A64">
        <w:rPr>
          <w:color w:val="00333D"/>
          <w:lang w:val="en-US"/>
        </w:rPr>
        <w:t xml:space="preserve">Is the outcome reached through addressing gender inequality. Achieving gender equality is not about erasing gender differences, but protecting and upholding people’s rights, responsibilities, and opportunities, and ensuring that access to these is not dependent on their gender or the sex they were assigned at birth. </w:t>
      </w:r>
    </w:p>
    <w:p w14:paraId="1F09FAC6" w14:textId="77777777" w:rsidR="00D1279B" w:rsidRPr="00B06A64" w:rsidRDefault="00D1279B" w:rsidP="00D1279B">
      <w:pPr>
        <w:pStyle w:val="Heading2"/>
        <w:rPr>
          <w:lang w:val="en-US"/>
        </w:rPr>
      </w:pPr>
      <w:bookmarkStart w:id="36" w:name="_Toc149048515"/>
      <w:bookmarkStart w:id="37" w:name="_Toc149048875"/>
      <w:r w:rsidRPr="00B06A64">
        <w:rPr>
          <w:lang w:val="en-US"/>
        </w:rPr>
        <w:t>Intersectionality</w:t>
      </w:r>
      <w:bookmarkEnd w:id="36"/>
      <w:bookmarkEnd w:id="37"/>
    </w:p>
    <w:p w14:paraId="5CE63094" w14:textId="77777777" w:rsidR="00D1279B" w:rsidRDefault="00D1279B" w:rsidP="00D1279B">
      <w:pPr>
        <w:rPr>
          <w:color w:val="00333D"/>
          <w:lang w:val="en-US"/>
        </w:rPr>
      </w:pPr>
      <w:r w:rsidRPr="00B06A64">
        <w:rPr>
          <w:color w:val="00333D"/>
          <w:lang w:val="en-US"/>
        </w:rPr>
        <w:t xml:space="preserve">Describes the interactions between multiple systems and structures of oppression (such as sexism, racism, classism, ageism, ableism, </w:t>
      </w:r>
      <w:proofErr w:type="gramStart"/>
      <w:r w:rsidRPr="00B06A64">
        <w:rPr>
          <w:color w:val="00333D"/>
          <w:lang w:val="en-US"/>
        </w:rPr>
        <w:t>heteronormativity</w:t>
      </w:r>
      <w:proofErr w:type="gramEnd"/>
      <w:r w:rsidRPr="00B06A64">
        <w:rPr>
          <w:color w:val="00333D"/>
          <w:lang w:val="en-US"/>
        </w:rPr>
        <w:t xml:space="preserve"> and cissexism), as well as policy and legal contexts (such as immigration status). It acknowledges that some people are subject to multiple forms of oppression and ‘the experience is not just the sum of its parts’.</w:t>
      </w:r>
    </w:p>
    <w:p w14:paraId="05E295E1" w14:textId="77777777" w:rsidR="00D1279B" w:rsidRPr="001E4F84" w:rsidRDefault="00D1279B" w:rsidP="00D1279B">
      <w:pPr>
        <w:rPr>
          <w:lang w:val="en-US"/>
        </w:rPr>
      </w:pPr>
      <w:r w:rsidRPr="001E4F84">
        <w:rPr>
          <w:lang w:val="en-US"/>
        </w:rPr>
        <w:t>An intersectional approach is ‘a lens, a prism, for</w:t>
      </w:r>
      <w:r>
        <w:rPr>
          <w:lang w:val="en-US"/>
        </w:rPr>
        <w:t xml:space="preserve"> </w:t>
      </w:r>
      <w:r w:rsidRPr="001E4F84">
        <w:rPr>
          <w:lang w:val="en-US"/>
        </w:rPr>
        <w:t>seeing the way in which various forms of inequality</w:t>
      </w:r>
      <w:r>
        <w:rPr>
          <w:lang w:val="en-US"/>
        </w:rPr>
        <w:t xml:space="preserve"> </w:t>
      </w:r>
      <w:r w:rsidRPr="001E4F84">
        <w:rPr>
          <w:lang w:val="en-US"/>
        </w:rPr>
        <w:t>often operate together and exacerbate each other’.</w:t>
      </w:r>
    </w:p>
    <w:p w14:paraId="609C92BB" w14:textId="77777777" w:rsidR="00D1279B" w:rsidRPr="001E4F84" w:rsidRDefault="00D1279B" w:rsidP="00D1279B">
      <w:pPr>
        <w:rPr>
          <w:lang w:val="en-US"/>
        </w:rPr>
      </w:pPr>
      <w:r w:rsidRPr="001E4F84">
        <w:rPr>
          <w:lang w:val="en-US"/>
        </w:rPr>
        <w:t>Intersectionality highlights the intersection of multiple</w:t>
      </w:r>
      <w:r>
        <w:rPr>
          <w:lang w:val="en-US"/>
        </w:rPr>
        <w:t xml:space="preserve"> </w:t>
      </w:r>
      <w:r w:rsidRPr="001E4F84">
        <w:rPr>
          <w:lang w:val="en-US"/>
        </w:rPr>
        <w:t>forms of power and privilege. An intersectional</w:t>
      </w:r>
      <w:r>
        <w:rPr>
          <w:lang w:val="en-US"/>
        </w:rPr>
        <w:t xml:space="preserve"> </w:t>
      </w:r>
      <w:r w:rsidRPr="001E4F84">
        <w:rPr>
          <w:lang w:val="en-US"/>
        </w:rPr>
        <w:t>approach is critical for preventing violence against</w:t>
      </w:r>
      <w:r>
        <w:rPr>
          <w:lang w:val="en-US"/>
        </w:rPr>
        <w:t xml:space="preserve"> </w:t>
      </w:r>
      <w:r w:rsidRPr="001E4F84">
        <w:rPr>
          <w:lang w:val="en-US"/>
        </w:rPr>
        <w:t>women because patriarchal power structures always</w:t>
      </w:r>
      <w:r>
        <w:rPr>
          <w:lang w:val="en-US"/>
        </w:rPr>
        <w:t xml:space="preserve"> </w:t>
      </w:r>
      <w:r w:rsidRPr="001E4F84">
        <w:rPr>
          <w:lang w:val="en-US"/>
        </w:rPr>
        <w:t>intersect with other systems of power. Violence</w:t>
      </w:r>
      <w:r>
        <w:rPr>
          <w:lang w:val="en-US"/>
        </w:rPr>
        <w:t xml:space="preserve"> </w:t>
      </w:r>
      <w:r w:rsidRPr="001E4F84">
        <w:rPr>
          <w:lang w:val="en-US"/>
        </w:rPr>
        <w:t>against women occurs in the context of both gender</w:t>
      </w:r>
      <w:r>
        <w:rPr>
          <w:lang w:val="en-US"/>
        </w:rPr>
        <w:t xml:space="preserve"> </w:t>
      </w:r>
      <w:r w:rsidRPr="001E4F84">
        <w:rPr>
          <w:lang w:val="en-US"/>
        </w:rPr>
        <w:t>inequality and other multiple forms of structural and</w:t>
      </w:r>
      <w:r>
        <w:rPr>
          <w:lang w:val="en-US"/>
        </w:rPr>
        <w:t xml:space="preserve"> </w:t>
      </w:r>
      <w:r w:rsidRPr="001E4F84">
        <w:rPr>
          <w:lang w:val="en-US"/>
        </w:rPr>
        <w:t xml:space="preserve">systemic inequality, </w:t>
      </w:r>
      <w:proofErr w:type="gramStart"/>
      <w:r w:rsidRPr="001E4F84">
        <w:rPr>
          <w:lang w:val="en-US"/>
        </w:rPr>
        <w:t>oppression</w:t>
      </w:r>
      <w:proofErr w:type="gramEnd"/>
      <w:r w:rsidRPr="001E4F84">
        <w:rPr>
          <w:lang w:val="en-US"/>
        </w:rPr>
        <w:t xml:space="preserve"> and discrimination.</w:t>
      </w:r>
    </w:p>
    <w:p w14:paraId="71B60066" w14:textId="77777777" w:rsidR="00D1279B" w:rsidRPr="001E4F84" w:rsidRDefault="00D1279B" w:rsidP="00D1279B">
      <w:pPr>
        <w:rPr>
          <w:lang w:val="en-US"/>
        </w:rPr>
      </w:pPr>
      <w:r w:rsidRPr="001E4F84">
        <w:rPr>
          <w:lang w:val="en-US"/>
        </w:rPr>
        <w:t>All of these intersect to influence the perpetration</w:t>
      </w:r>
      <w:r>
        <w:rPr>
          <w:lang w:val="en-US"/>
        </w:rPr>
        <w:t xml:space="preserve"> </w:t>
      </w:r>
      <w:r w:rsidRPr="001E4F84">
        <w:rPr>
          <w:lang w:val="en-US"/>
        </w:rPr>
        <w:t>of violence, the prevalence, nature and dynamics of</w:t>
      </w:r>
      <w:r>
        <w:rPr>
          <w:lang w:val="en-US"/>
        </w:rPr>
        <w:t xml:space="preserve"> </w:t>
      </w:r>
      <w:r w:rsidRPr="001E4F84">
        <w:rPr>
          <w:lang w:val="en-US"/>
        </w:rPr>
        <w:t>violence, and women’s experiences of violence.</w:t>
      </w:r>
    </w:p>
    <w:p w14:paraId="6E3A3B8B" w14:textId="77777777" w:rsidR="00D1279B" w:rsidRDefault="00D1279B" w:rsidP="00D1279B">
      <w:pPr>
        <w:rPr>
          <w:lang w:val="en-US"/>
        </w:rPr>
      </w:pPr>
      <w:r w:rsidRPr="001E4F84">
        <w:rPr>
          <w:lang w:val="en-US"/>
        </w:rPr>
        <w:t>Understanding and addressing these intersections</w:t>
      </w:r>
      <w:r>
        <w:rPr>
          <w:lang w:val="en-US"/>
        </w:rPr>
        <w:t xml:space="preserve"> </w:t>
      </w:r>
      <w:r w:rsidRPr="001E4F84">
        <w:rPr>
          <w:lang w:val="en-US"/>
        </w:rPr>
        <w:t>is necessary to effectively address the drivers of</w:t>
      </w:r>
      <w:r>
        <w:rPr>
          <w:lang w:val="en-US"/>
        </w:rPr>
        <w:t xml:space="preserve"> </w:t>
      </w:r>
      <w:r w:rsidRPr="001E4F84">
        <w:rPr>
          <w:lang w:val="en-US"/>
        </w:rPr>
        <w:t>violence against women and prevent this violence</w:t>
      </w:r>
      <w:r>
        <w:rPr>
          <w:lang w:val="en-US"/>
        </w:rPr>
        <w:t xml:space="preserve"> </w:t>
      </w:r>
      <w:r w:rsidRPr="001E4F84">
        <w:rPr>
          <w:lang w:val="en-US"/>
        </w:rPr>
        <w:t>across the population (Our Watch, 2021).</w:t>
      </w:r>
    </w:p>
    <w:p w14:paraId="4B0B3251" w14:textId="77777777" w:rsidR="00D1279B" w:rsidRDefault="00D1279B" w:rsidP="00D1279B">
      <w:pPr>
        <w:pStyle w:val="Heading2"/>
        <w:rPr>
          <w:lang w:val="en-US"/>
        </w:rPr>
      </w:pPr>
      <w:r>
        <w:rPr>
          <w:lang w:val="en-US"/>
        </w:rPr>
        <w:t>Perpetrator</w:t>
      </w:r>
    </w:p>
    <w:p w14:paraId="079619C8" w14:textId="77777777" w:rsidR="00D1279B" w:rsidRDefault="00D1279B" w:rsidP="00D1279B">
      <w:r>
        <w:t xml:space="preserve">Is the term most used in Victoria to describe people – mainly men </w:t>
      </w:r>
      <w:r>
        <w:rPr>
          <w:rFonts w:hint="eastAsia"/>
        </w:rPr>
        <w:t>-</w:t>
      </w:r>
      <w:r>
        <w:t xml:space="preserve"> who choose to use family violence or commit violence against women. ‘Offender’ or ‘sexual violence offender</w:t>
      </w:r>
      <w:r w:rsidRPr="00D5024A">
        <w:rPr>
          <w:rFonts w:asciiTheme="minorHAnsi" w:hAnsiTheme="minorHAnsi" w:cstheme="minorHAnsi"/>
        </w:rPr>
        <w:t>’</w:t>
      </w:r>
      <w:r>
        <w:t xml:space="preserve"> are used to describe perpetrators of violence in clinical or legal contexts.</w:t>
      </w:r>
    </w:p>
    <w:p w14:paraId="2467C4A8" w14:textId="77777777" w:rsidR="00D1279B" w:rsidRDefault="00D1279B" w:rsidP="00D1279B">
      <w:pPr>
        <w:pStyle w:val="Heading2"/>
        <w:rPr>
          <w:lang w:val="en-US"/>
        </w:rPr>
      </w:pPr>
      <w:r>
        <w:rPr>
          <w:lang w:val="en-US"/>
        </w:rPr>
        <w:lastRenderedPageBreak/>
        <w:t>Primary prevention</w:t>
      </w:r>
    </w:p>
    <w:p w14:paraId="3BF020F2" w14:textId="77777777" w:rsidR="00D1279B" w:rsidRDefault="00D1279B" w:rsidP="00D1279B">
      <w:pPr>
        <w:rPr>
          <w:lang w:val="en-US"/>
        </w:rPr>
      </w:pPr>
      <w:r>
        <w:rPr>
          <w:lang w:val="en-US"/>
        </w:rPr>
        <w:t xml:space="preserve">Is a public health approach that addresses the underlying causes of a problem to prevent it from occurring in the first place. It is geared towards education, upskilling individuals, </w:t>
      </w:r>
      <w:proofErr w:type="gramStart"/>
      <w:r>
        <w:rPr>
          <w:lang w:val="en-US"/>
        </w:rPr>
        <w:t>communities</w:t>
      </w:r>
      <w:proofErr w:type="gramEnd"/>
      <w:r>
        <w:rPr>
          <w:lang w:val="en-US"/>
        </w:rPr>
        <w:t xml:space="preserve"> and </w:t>
      </w:r>
      <w:proofErr w:type="spellStart"/>
      <w:r>
        <w:rPr>
          <w:lang w:val="en-US"/>
        </w:rPr>
        <w:t>organisations</w:t>
      </w:r>
      <w:proofErr w:type="spellEnd"/>
      <w:r>
        <w:rPr>
          <w:lang w:val="en-US"/>
        </w:rPr>
        <w:t xml:space="preserve"> to identify the issue, and generating systems and practices to stifle the issue’s ‘progress’. </w:t>
      </w:r>
    </w:p>
    <w:p w14:paraId="062CBB6F" w14:textId="77777777" w:rsidR="00D1279B" w:rsidRDefault="00D1279B" w:rsidP="00D1279B">
      <w:pPr>
        <w:pStyle w:val="Heading2"/>
        <w:rPr>
          <w:lang w:val="en-US"/>
        </w:rPr>
      </w:pPr>
      <w:r>
        <w:rPr>
          <w:lang w:val="en-US"/>
        </w:rPr>
        <w:t>Prevention of/preventing violence against women (PVAW)</w:t>
      </w:r>
    </w:p>
    <w:p w14:paraId="7D1F4ACA" w14:textId="77777777" w:rsidR="00D1279B" w:rsidRDefault="00D1279B" w:rsidP="00D1279B">
      <w:pPr>
        <w:rPr>
          <w:lang w:val="en-US"/>
        </w:rPr>
      </w:pPr>
      <w:r>
        <w:rPr>
          <w:lang w:val="en-US"/>
        </w:rPr>
        <w:t xml:space="preserve">Often used interchangeably and generally understood to mean the primary prevention of violence against women. </w:t>
      </w:r>
    </w:p>
    <w:p w14:paraId="348533CD" w14:textId="77777777" w:rsidR="00D1279B" w:rsidRDefault="00D1279B" w:rsidP="00D1279B">
      <w:pPr>
        <w:rPr>
          <w:lang w:val="en-US"/>
        </w:rPr>
      </w:pPr>
      <w:r>
        <w:rPr>
          <w:lang w:val="en-US"/>
        </w:rPr>
        <w:t xml:space="preserve">While there is an established evidence base around the drivers of violence against women, our understanding of what drives other forms of family violence is still emerging. </w:t>
      </w:r>
    </w:p>
    <w:p w14:paraId="7521023B" w14:textId="77777777" w:rsidR="00D1279B" w:rsidRDefault="00D1279B" w:rsidP="00D1279B">
      <w:pPr>
        <w:pStyle w:val="Heading2"/>
        <w:rPr>
          <w:lang w:val="en-US"/>
        </w:rPr>
      </w:pPr>
      <w:r>
        <w:rPr>
          <w:lang w:val="en-US"/>
        </w:rPr>
        <w:t>Resistance</w:t>
      </w:r>
    </w:p>
    <w:p w14:paraId="0E5F8B92" w14:textId="77777777" w:rsidR="00D1279B" w:rsidRDefault="00D1279B" w:rsidP="00D1279B">
      <w:pPr>
        <w:rPr>
          <w:lang w:val="en-US"/>
        </w:rPr>
      </w:pPr>
      <w:r>
        <w:rPr>
          <w:lang w:val="en-US"/>
        </w:rPr>
        <w:t xml:space="preserve">Is an active pushing back against initiatives that aim to prevent violence against women and promote gender equality. Examples may include denial of the problem, refusing to make a change, or dismantling a change initiative. </w:t>
      </w:r>
    </w:p>
    <w:p w14:paraId="027A1684" w14:textId="77777777" w:rsidR="00D1279B" w:rsidRDefault="00D1279B" w:rsidP="00D1279B">
      <w:pPr>
        <w:pStyle w:val="Heading2"/>
        <w:rPr>
          <w:lang w:val="en-US"/>
        </w:rPr>
      </w:pPr>
      <w:r>
        <w:rPr>
          <w:lang w:val="en-US"/>
        </w:rPr>
        <w:t>Respect</w:t>
      </w:r>
    </w:p>
    <w:p w14:paraId="20BE7B74" w14:textId="77777777" w:rsidR="00D1279B" w:rsidRPr="00903761" w:rsidRDefault="00D1279B" w:rsidP="00D1279B">
      <w:r>
        <w:rPr>
          <w:lang w:val="en-US"/>
        </w:rPr>
        <w:t xml:space="preserve">Understanding and appreciating every person for who they are. All people deserve to be treated with respect, as a basic human right. </w:t>
      </w:r>
      <w:r>
        <w:rPr>
          <w:lang w:val="en-US"/>
        </w:rPr>
        <w:br w:type="page"/>
      </w:r>
    </w:p>
    <w:p w14:paraId="4692DF25" w14:textId="77777777" w:rsidR="00D1279B" w:rsidRDefault="00D1279B" w:rsidP="00D1279B">
      <w:pPr>
        <w:pStyle w:val="Heading1"/>
        <w:rPr>
          <w:lang w:val="en-US"/>
        </w:rPr>
      </w:pPr>
      <w:bookmarkStart w:id="38" w:name="_Toc170609127"/>
      <w:bookmarkStart w:id="39" w:name="_Toc149241671"/>
      <w:r w:rsidRPr="351317B0">
        <w:rPr>
          <w:lang w:val="en-US"/>
        </w:rPr>
        <w:lastRenderedPageBreak/>
        <w:t>Toolkit contributions</w:t>
      </w:r>
      <w:bookmarkEnd w:id="38"/>
      <w:bookmarkEnd w:id="39"/>
    </w:p>
    <w:p w14:paraId="0B875C4C" w14:textId="77777777" w:rsidR="00D1279B" w:rsidRPr="00C237F4" w:rsidRDefault="00D1279B" w:rsidP="00D1279B">
      <w:pPr>
        <w:rPr>
          <w:lang w:val="en-US"/>
        </w:rPr>
      </w:pPr>
      <w:hyperlink r:id="rId15" w:history="1">
        <w:r w:rsidRPr="007B04AF">
          <w:rPr>
            <w:rStyle w:val="Hyperlink"/>
            <w:lang w:val="en-US"/>
          </w:rPr>
          <w:t>Safe and Equal</w:t>
        </w:r>
      </w:hyperlink>
      <w:r w:rsidRPr="00A40C5D">
        <w:rPr>
          <w:lang w:val="en-US"/>
        </w:rPr>
        <w:t xml:space="preserve">, on behalf of </w:t>
      </w:r>
      <w:hyperlink r:id="rId16" w:history="1">
        <w:r w:rsidRPr="001E4F84">
          <w:rPr>
            <w:rStyle w:val="Hyperlink"/>
            <w:lang w:val="en-US"/>
          </w:rPr>
          <w:t>Respect Victoria</w:t>
        </w:r>
      </w:hyperlink>
      <w:r w:rsidRPr="00A40C5D">
        <w:rPr>
          <w:lang w:val="en-US"/>
        </w:rPr>
        <w:t>,</w:t>
      </w:r>
      <w:r w:rsidRPr="00C237F4">
        <w:rPr>
          <w:lang w:val="en-US"/>
        </w:rPr>
        <w:t xml:space="preserve"> will be distributing funding to support local prevention activities during the 16 Days of Activism against Gender-Based Violence. Funding is available to each of the 79 local councils. Consortium funding to the regional and state-wide women’s health services will support work with their primary prevention partnerships across Victoria. </w:t>
      </w:r>
    </w:p>
    <w:p w14:paraId="62EC7885" w14:textId="77777777" w:rsidR="00D1279B" w:rsidRPr="00C237F4" w:rsidRDefault="00D1279B" w:rsidP="00D1279B">
      <w:pPr>
        <w:rPr>
          <w:lang w:val="en-US"/>
        </w:rPr>
      </w:pPr>
      <w:r w:rsidRPr="00C237F4">
        <w:rPr>
          <w:lang w:val="en-US"/>
        </w:rPr>
        <w:t xml:space="preserve">This toolkit was first developed by the Municipal Association of Victoria (MAV) in 2020 and since updated in partnership with Safe and Equal and Respect Victoria. </w:t>
      </w:r>
    </w:p>
    <w:p w14:paraId="24D866E7" w14:textId="77777777" w:rsidR="00D1279B" w:rsidRPr="00C237F4" w:rsidRDefault="00D1279B" w:rsidP="00D1279B">
      <w:pPr>
        <w:rPr>
          <w:lang w:val="en-US"/>
        </w:rPr>
      </w:pPr>
      <w:r w:rsidRPr="00C237F4">
        <w:rPr>
          <w:lang w:val="en-US"/>
        </w:rPr>
        <w:t xml:space="preserve">We acknowledge the contributions of our 2023 Project Advisory Group members: </w:t>
      </w:r>
      <w:proofErr w:type="spellStart"/>
      <w:r w:rsidRPr="00C237F4">
        <w:rPr>
          <w:lang w:val="en-US"/>
        </w:rPr>
        <w:t>GenWest</w:t>
      </w:r>
      <w:proofErr w:type="spellEnd"/>
      <w:r w:rsidRPr="00C237F4">
        <w:rPr>
          <w:lang w:val="en-US"/>
        </w:rPr>
        <w:t xml:space="preserve"> Gippsland Women’s Health, Northern Grampians Council, Victorian Council </w:t>
      </w:r>
      <w:proofErr w:type="gramStart"/>
      <w:r w:rsidRPr="00C237F4">
        <w:rPr>
          <w:lang w:val="en-US"/>
        </w:rPr>
        <w:t>Of</w:t>
      </w:r>
      <w:proofErr w:type="gramEnd"/>
      <w:r w:rsidRPr="00C237F4">
        <w:rPr>
          <w:lang w:val="en-US"/>
        </w:rPr>
        <w:t xml:space="preserve"> Social Services </w:t>
      </w:r>
      <w:r w:rsidRPr="00C237F4">
        <w:rPr>
          <w:spacing w:val="-7"/>
          <w:lang w:val="en-US"/>
        </w:rPr>
        <w:t>(VCOSS), Municipal Association of Victoria (MAV), No To Violence (NTV) and Maroondah City Council.</w:t>
      </w:r>
    </w:p>
    <w:p w14:paraId="1CF06491" w14:textId="77777777" w:rsidR="00D1279B" w:rsidRDefault="00D1279B" w:rsidP="00D1279B">
      <w:pPr>
        <w:pStyle w:val="Heading2"/>
        <w:rPr>
          <w:lang w:val="en-US"/>
        </w:rPr>
      </w:pPr>
      <w:r>
        <w:rPr>
          <w:lang w:val="en-US"/>
        </w:rPr>
        <w:t>Contact Respect Victoria</w:t>
      </w:r>
    </w:p>
    <w:p w14:paraId="4D4ECE70" w14:textId="77777777" w:rsidR="00D1279B" w:rsidRPr="00A40C5D" w:rsidRDefault="00D1279B" w:rsidP="00D1279B">
      <w:pPr>
        <w:rPr>
          <w:lang w:val="en-US"/>
        </w:rPr>
      </w:pPr>
      <w:r>
        <w:rPr>
          <w:lang w:val="en-US"/>
        </w:rPr>
        <w:t xml:space="preserve">For more information relating to this toolkit, email Respect Victoria at </w:t>
      </w:r>
      <w:hyperlink r:id="rId17" w:history="1">
        <w:r w:rsidRPr="008E065D">
          <w:rPr>
            <w:rStyle w:val="Hyperlink"/>
            <w:lang w:val="en-US"/>
          </w:rPr>
          <w:t>contact@respectvictoria.vic.gov.au</w:t>
        </w:r>
      </w:hyperlink>
      <w:r>
        <w:rPr>
          <w:lang w:val="en-US"/>
        </w:rPr>
        <w:t xml:space="preserve"> </w:t>
      </w:r>
    </w:p>
    <w:p w14:paraId="63528EA1" w14:textId="77777777" w:rsidR="00D1279B" w:rsidRPr="00D52CCF" w:rsidRDefault="00D1279B" w:rsidP="00D1279B"/>
    <w:p w14:paraId="71369E90" w14:textId="77777777" w:rsidR="00D1279B" w:rsidRPr="00235859" w:rsidRDefault="00D1279B" w:rsidP="00D1279B"/>
    <w:p w14:paraId="3AA592BD" w14:textId="77777777" w:rsidR="00D1279B" w:rsidRDefault="00D1279B" w:rsidP="00D1279B"/>
    <w:p w14:paraId="1EAEFD52" w14:textId="6EDE161F" w:rsidR="00D75EAA" w:rsidRDefault="00D75EAA" w:rsidP="00D1279B"/>
    <w:sectPr w:rsidR="00D75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DD1"/>
    <w:multiLevelType w:val="hybridMultilevel"/>
    <w:tmpl w:val="B2B69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05031"/>
    <w:multiLevelType w:val="hybridMultilevel"/>
    <w:tmpl w:val="4D960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81C2E"/>
    <w:multiLevelType w:val="hybridMultilevel"/>
    <w:tmpl w:val="577802BA"/>
    <w:lvl w:ilvl="0" w:tplc="FE408C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C52E52"/>
    <w:multiLevelType w:val="hybridMultilevel"/>
    <w:tmpl w:val="6716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C44E26"/>
    <w:multiLevelType w:val="hybridMultilevel"/>
    <w:tmpl w:val="7B501F9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50E51C06"/>
    <w:multiLevelType w:val="hybridMultilevel"/>
    <w:tmpl w:val="9CAE31AC"/>
    <w:lvl w:ilvl="0" w:tplc="0C090001">
      <w:start w:val="1"/>
      <w:numFmt w:val="bullet"/>
      <w:lvlText w:val=""/>
      <w:lvlJc w:val="left"/>
      <w:pPr>
        <w:ind w:left="730" w:hanging="3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924546"/>
    <w:multiLevelType w:val="hybridMultilevel"/>
    <w:tmpl w:val="8B1E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EE64CF"/>
    <w:multiLevelType w:val="hybridMultilevel"/>
    <w:tmpl w:val="28DCF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595FD8"/>
    <w:multiLevelType w:val="hybridMultilevel"/>
    <w:tmpl w:val="6926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7F1581"/>
    <w:multiLevelType w:val="hybridMultilevel"/>
    <w:tmpl w:val="675A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597407">
    <w:abstractNumId w:val="5"/>
  </w:num>
  <w:num w:numId="2" w16cid:durableId="30500826">
    <w:abstractNumId w:val="3"/>
  </w:num>
  <w:num w:numId="3" w16cid:durableId="1416973717">
    <w:abstractNumId w:val="2"/>
  </w:num>
  <w:num w:numId="4" w16cid:durableId="482041250">
    <w:abstractNumId w:val="9"/>
  </w:num>
  <w:num w:numId="5" w16cid:durableId="1635987914">
    <w:abstractNumId w:val="0"/>
  </w:num>
  <w:num w:numId="6" w16cid:durableId="1275210575">
    <w:abstractNumId w:val="1"/>
  </w:num>
  <w:num w:numId="7" w16cid:durableId="502359530">
    <w:abstractNumId w:val="8"/>
  </w:num>
  <w:num w:numId="8" w16cid:durableId="4484937">
    <w:abstractNumId w:val="6"/>
  </w:num>
  <w:num w:numId="9" w16cid:durableId="78452858">
    <w:abstractNumId w:val="4"/>
  </w:num>
  <w:num w:numId="10" w16cid:durableId="732044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B"/>
    <w:rsid w:val="004C4EC8"/>
    <w:rsid w:val="0066510A"/>
    <w:rsid w:val="00695623"/>
    <w:rsid w:val="00D1279B"/>
    <w:rsid w:val="00D75EAA"/>
    <w:rsid w:val="00EF4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4D12"/>
  <w15:chartTrackingRefBased/>
  <w15:docId w15:val="{6D8C6B19-8687-4343-B863-3F6614B9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C8"/>
    <w:pPr>
      <w:spacing w:line="276" w:lineRule="auto"/>
    </w:pPr>
    <w:rPr>
      <w:rFonts w:ascii="Arial" w:hAnsi="Arial" w:cs="Arial"/>
      <w:color w:val="00363A"/>
    </w:rPr>
  </w:style>
  <w:style w:type="paragraph" w:styleId="Heading1">
    <w:name w:val="heading 1"/>
    <w:basedOn w:val="Header"/>
    <w:next w:val="Normal"/>
    <w:link w:val="Heading1Char"/>
    <w:uiPriority w:val="9"/>
    <w:qFormat/>
    <w:rsid w:val="004C4EC8"/>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4C4EC8"/>
    <w:pPr>
      <w:spacing w:before="80" w:line="264" w:lineRule="auto"/>
      <w:outlineLvl w:val="1"/>
    </w:pPr>
    <w:rPr>
      <w:spacing w:val="-2"/>
      <w:sz w:val="40"/>
      <w:szCs w:val="36"/>
    </w:rPr>
  </w:style>
  <w:style w:type="paragraph" w:styleId="Heading3">
    <w:name w:val="heading 3"/>
    <w:basedOn w:val="Normal"/>
    <w:link w:val="Heading3Char"/>
    <w:uiPriority w:val="9"/>
    <w:qFormat/>
    <w:rsid w:val="004C4EC8"/>
    <w:pPr>
      <w:spacing w:before="80"/>
      <w:outlineLvl w:val="2"/>
    </w:pPr>
    <w:rPr>
      <w:b/>
      <w:bCs/>
      <w:sz w:val="28"/>
      <w:szCs w:val="24"/>
    </w:rPr>
  </w:style>
  <w:style w:type="paragraph" w:styleId="Heading4">
    <w:name w:val="heading 4"/>
    <w:aliases w:val="Normal (Large)"/>
    <w:basedOn w:val="Normal"/>
    <w:next w:val="Normal"/>
    <w:link w:val="Heading4Char"/>
    <w:autoRedefine/>
    <w:uiPriority w:val="9"/>
    <w:unhideWhenUsed/>
    <w:qFormat/>
    <w:rsid w:val="00695623"/>
    <w:pPr>
      <w:keepNext/>
      <w:keepLines/>
      <w:spacing w:before="40" w:after="80"/>
      <w:outlineLvl w:val="3"/>
    </w:pPr>
    <w:rPr>
      <w:rFonts w:eastAsiaTheme="majorEastAsia" w:cstheme="majorBidi"/>
      <w:b/>
      <w:iCs/>
    </w:rPr>
  </w:style>
  <w:style w:type="paragraph" w:styleId="Heading5">
    <w:name w:val="heading 5"/>
    <w:basedOn w:val="Normal"/>
    <w:next w:val="Normal"/>
    <w:link w:val="Heading5Char"/>
    <w:uiPriority w:val="9"/>
    <w:unhideWhenUsed/>
    <w:qFormat/>
    <w:rsid w:val="004C4EC8"/>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C4EC8"/>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C8"/>
    <w:rPr>
      <w:rFonts w:ascii="Impact" w:hAnsi="Impact" w:cs="Times New Roman (Body CS)"/>
      <w:caps/>
      <w:color w:val="FF4900"/>
      <w:sz w:val="52"/>
      <w:szCs w:val="56"/>
    </w:rPr>
  </w:style>
  <w:style w:type="paragraph" w:styleId="Header">
    <w:name w:val="header"/>
    <w:basedOn w:val="Normal"/>
    <w:link w:val="HeaderChar"/>
    <w:uiPriority w:val="99"/>
    <w:semiHidden/>
    <w:unhideWhenUsed/>
    <w:rsid w:val="004C4E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4EC8"/>
    <w:rPr>
      <w:rFonts w:ascii="Arial" w:hAnsi="Arial" w:cs="Arial"/>
      <w:color w:val="00363A"/>
    </w:rPr>
  </w:style>
  <w:style w:type="character" w:customStyle="1" w:styleId="Heading2Char">
    <w:name w:val="Heading 2 Char"/>
    <w:basedOn w:val="DefaultParagraphFont"/>
    <w:link w:val="Heading2"/>
    <w:uiPriority w:val="9"/>
    <w:rsid w:val="004C4EC8"/>
    <w:rPr>
      <w:rFonts w:ascii="Arial" w:hAnsi="Arial" w:cs="Arial"/>
      <w:color w:val="00363A"/>
      <w:spacing w:val="-2"/>
      <w:sz w:val="40"/>
      <w:szCs w:val="36"/>
    </w:rPr>
  </w:style>
  <w:style w:type="character" w:customStyle="1" w:styleId="Heading3Char">
    <w:name w:val="Heading 3 Char"/>
    <w:basedOn w:val="DefaultParagraphFont"/>
    <w:link w:val="Heading3"/>
    <w:uiPriority w:val="9"/>
    <w:rsid w:val="004C4EC8"/>
    <w:rPr>
      <w:rFonts w:ascii="Arial" w:hAnsi="Arial" w:cs="Arial"/>
      <w:b/>
      <w:bCs/>
      <w:color w:val="00363A"/>
      <w:sz w:val="28"/>
      <w:szCs w:val="24"/>
    </w:rPr>
  </w:style>
  <w:style w:type="character" w:customStyle="1" w:styleId="Heading4Char">
    <w:name w:val="Heading 4 Char"/>
    <w:aliases w:val="Normal (Large) Char"/>
    <w:basedOn w:val="DefaultParagraphFont"/>
    <w:link w:val="Heading4"/>
    <w:uiPriority w:val="9"/>
    <w:rsid w:val="00695623"/>
    <w:rPr>
      <w:rFonts w:ascii="Arial" w:eastAsiaTheme="majorEastAsia" w:hAnsi="Arial" w:cstheme="majorBidi"/>
      <w:b/>
      <w:iCs/>
      <w:color w:val="00363A"/>
    </w:rPr>
  </w:style>
  <w:style w:type="character" w:customStyle="1" w:styleId="Heading5Char">
    <w:name w:val="Heading 5 Char"/>
    <w:basedOn w:val="DefaultParagraphFont"/>
    <w:link w:val="Heading5"/>
    <w:uiPriority w:val="9"/>
    <w:rsid w:val="004C4EC8"/>
    <w:rPr>
      <w:rFonts w:ascii="Arial" w:eastAsiaTheme="majorEastAsia" w:hAnsi="Arial" w:cstheme="majorBidi"/>
      <w:b/>
      <w:color w:val="00363A"/>
    </w:rPr>
  </w:style>
  <w:style w:type="character" w:customStyle="1" w:styleId="Heading6Char">
    <w:name w:val="Heading 6 Char"/>
    <w:basedOn w:val="DefaultParagraphFont"/>
    <w:link w:val="Heading6"/>
    <w:uiPriority w:val="9"/>
    <w:semiHidden/>
    <w:rsid w:val="004C4EC8"/>
    <w:rPr>
      <w:rFonts w:asciiTheme="majorHAnsi" w:eastAsiaTheme="majorEastAsia" w:hAnsiTheme="majorHAnsi" w:cstheme="majorBidi"/>
      <w:color w:val="00363A"/>
    </w:rPr>
  </w:style>
  <w:style w:type="paragraph" w:styleId="Caption">
    <w:name w:val="caption"/>
    <w:basedOn w:val="Normal"/>
    <w:next w:val="Normal"/>
    <w:uiPriority w:val="35"/>
    <w:unhideWhenUsed/>
    <w:qFormat/>
    <w:rsid w:val="004C4EC8"/>
    <w:pPr>
      <w:widowControl w:val="0"/>
      <w:autoSpaceDE w:val="0"/>
      <w:autoSpaceDN w:val="0"/>
      <w:spacing w:before="120" w:after="200" w:line="264" w:lineRule="auto"/>
    </w:pPr>
    <w:rPr>
      <w:rFonts w:eastAsia="Arial"/>
      <w:iCs/>
      <w:sz w:val="20"/>
      <w:szCs w:val="18"/>
      <w:lang w:eastAsia="en-AU" w:bidi="en-AU"/>
    </w:rPr>
  </w:style>
  <w:style w:type="paragraph" w:styleId="Title">
    <w:name w:val="Title"/>
    <w:basedOn w:val="Normal"/>
    <w:next w:val="Normal"/>
    <w:link w:val="TitleChar"/>
    <w:uiPriority w:val="10"/>
    <w:qFormat/>
    <w:rsid w:val="004C4EC8"/>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uiPriority w:val="10"/>
    <w:rsid w:val="004C4EC8"/>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4C4EC8"/>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4C4EC8"/>
    <w:rPr>
      <w:rFonts w:ascii="Arial" w:eastAsiaTheme="minorEastAsia" w:hAnsi="Arial" w:cs="Times New Roman (Body CS)"/>
      <w:color w:val="00363A"/>
      <w:spacing w:val="-2"/>
      <w:sz w:val="40"/>
      <w:szCs w:val="36"/>
    </w:rPr>
  </w:style>
  <w:style w:type="character" w:styleId="Strong">
    <w:name w:val="Strong"/>
    <w:basedOn w:val="DefaultParagraphFont"/>
    <w:uiPriority w:val="22"/>
    <w:qFormat/>
    <w:rsid w:val="004C4EC8"/>
    <w:rPr>
      <w:rFonts w:ascii="Arial" w:hAnsi="Arial"/>
      <w:b/>
      <w:bCs/>
      <w:color w:val="00363A"/>
      <w:sz w:val="22"/>
    </w:rPr>
  </w:style>
  <w:style w:type="character" w:styleId="Emphasis">
    <w:name w:val="Emphasis"/>
    <w:basedOn w:val="DefaultParagraphFont"/>
    <w:uiPriority w:val="20"/>
    <w:qFormat/>
    <w:rsid w:val="004C4EC8"/>
    <w:rPr>
      <w:rFonts w:ascii="Arial" w:hAnsi="Arial"/>
      <w:i/>
      <w:iCs/>
      <w:color w:val="00363A"/>
      <w:sz w:val="22"/>
    </w:rPr>
  </w:style>
  <w:style w:type="paragraph" w:styleId="NoSpacing">
    <w:name w:val="No Spacing"/>
    <w:uiPriority w:val="1"/>
    <w:qFormat/>
    <w:rsid w:val="004C4EC8"/>
    <w:pPr>
      <w:spacing w:after="0" w:line="240" w:lineRule="auto"/>
    </w:pPr>
    <w:rPr>
      <w:rFonts w:ascii="Arial" w:hAnsi="Arial" w:cs="Arial"/>
      <w:color w:val="00363A"/>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uiPriority w:val="34"/>
    <w:qFormat/>
    <w:rsid w:val="00695623"/>
    <w:pPr>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695623"/>
    <w:rPr>
      <w:rFonts w:ascii="Arial" w:hAnsi="Arial" w:cs="Arial"/>
      <w:color w:val="00363A"/>
    </w:rPr>
  </w:style>
  <w:style w:type="paragraph" w:styleId="Quote">
    <w:name w:val="Quote"/>
    <w:basedOn w:val="Normal"/>
    <w:next w:val="Normal"/>
    <w:link w:val="QuoteChar"/>
    <w:uiPriority w:val="29"/>
    <w:qFormat/>
    <w:rsid w:val="004C4EC8"/>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4C4EC8"/>
    <w:rPr>
      <w:rFonts w:ascii="Arial" w:hAnsi="Arial" w:cs="Arial"/>
      <w:iCs/>
      <w:color w:val="00363A"/>
      <w:sz w:val="40"/>
    </w:rPr>
  </w:style>
  <w:style w:type="paragraph" w:styleId="IntenseQuote">
    <w:name w:val="Intense Quote"/>
    <w:basedOn w:val="Normal"/>
    <w:next w:val="Normal"/>
    <w:link w:val="IntenseQuoteChar"/>
    <w:uiPriority w:val="30"/>
    <w:qFormat/>
    <w:rsid w:val="004C4EC8"/>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C4EC8"/>
    <w:rPr>
      <w:rFonts w:ascii="Arial" w:hAnsi="Arial" w:cs="Arial"/>
      <w:i/>
      <w:iCs/>
      <w:color w:val="00363A"/>
    </w:rPr>
  </w:style>
  <w:style w:type="character" w:styleId="SubtleEmphasis">
    <w:name w:val="Subtle Emphasis"/>
    <w:basedOn w:val="DefaultParagraphFont"/>
    <w:uiPriority w:val="19"/>
    <w:qFormat/>
    <w:rsid w:val="004C4EC8"/>
    <w:rPr>
      <w:rFonts w:ascii="Arial" w:hAnsi="Arial"/>
      <w:i/>
      <w:iCs/>
      <w:color w:val="00363A"/>
      <w:sz w:val="56"/>
    </w:rPr>
  </w:style>
  <w:style w:type="character" w:styleId="IntenseEmphasis">
    <w:name w:val="Intense Emphasis"/>
    <w:basedOn w:val="DefaultParagraphFont"/>
    <w:uiPriority w:val="21"/>
    <w:qFormat/>
    <w:rsid w:val="004C4EC8"/>
    <w:rPr>
      <w:rFonts w:ascii="Arial" w:hAnsi="Arial"/>
      <w:b/>
      <w:i/>
      <w:iCs/>
      <w:color w:val="00363A"/>
      <w:sz w:val="22"/>
    </w:rPr>
  </w:style>
  <w:style w:type="character" w:styleId="BookTitle">
    <w:name w:val="Book Title"/>
    <w:basedOn w:val="DefaultParagraphFont"/>
    <w:uiPriority w:val="33"/>
    <w:qFormat/>
    <w:rsid w:val="004C4EC8"/>
    <w:rPr>
      <w:rFonts w:ascii="Arial" w:hAnsi="Arial"/>
      <w:b/>
      <w:bCs/>
      <w:i/>
      <w:iCs/>
      <w:color w:val="00363A"/>
      <w:spacing w:val="5"/>
      <w:sz w:val="22"/>
    </w:rPr>
  </w:style>
  <w:style w:type="character" w:styleId="Hyperlink">
    <w:name w:val="Hyperlink"/>
    <w:basedOn w:val="DefaultParagraphFont"/>
    <w:uiPriority w:val="99"/>
    <w:unhideWhenUsed/>
    <w:qFormat/>
    <w:rsid w:val="00695623"/>
    <w:rPr>
      <w:color w:val="FF4900"/>
      <w:u w:val="single"/>
    </w:rPr>
  </w:style>
  <w:style w:type="character" w:styleId="CommentReference">
    <w:name w:val="annotation reference"/>
    <w:basedOn w:val="DefaultParagraphFont"/>
    <w:uiPriority w:val="99"/>
    <w:semiHidden/>
    <w:unhideWhenUsed/>
    <w:rsid w:val="00D1279B"/>
    <w:rPr>
      <w:sz w:val="16"/>
      <w:szCs w:val="16"/>
    </w:rPr>
  </w:style>
  <w:style w:type="paragraph" w:styleId="CommentText">
    <w:name w:val="annotation text"/>
    <w:basedOn w:val="Normal"/>
    <w:link w:val="CommentTextChar"/>
    <w:uiPriority w:val="99"/>
    <w:unhideWhenUsed/>
    <w:rsid w:val="00D1279B"/>
    <w:pPr>
      <w:spacing w:line="240" w:lineRule="auto"/>
    </w:pPr>
    <w:rPr>
      <w:sz w:val="20"/>
      <w:szCs w:val="20"/>
    </w:rPr>
  </w:style>
  <w:style w:type="character" w:customStyle="1" w:styleId="CommentTextChar">
    <w:name w:val="Comment Text Char"/>
    <w:basedOn w:val="DefaultParagraphFont"/>
    <w:link w:val="CommentText"/>
    <w:uiPriority w:val="99"/>
    <w:rsid w:val="00D1279B"/>
    <w:rPr>
      <w:rFonts w:ascii="Arial" w:hAnsi="Arial" w:cs="Arial"/>
      <w:color w:val="00363A"/>
      <w:sz w:val="20"/>
      <w:szCs w:val="20"/>
    </w:rPr>
  </w:style>
  <w:style w:type="character" w:styleId="UnresolvedMention">
    <w:name w:val="Unresolved Mention"/>
    <w:basedOn w:val="DefaultParagraphFont"/>
    <w:uiPriority w:val="99"/>
    <w:semiHidden/>
    <w:unhideWhenUsed/>
    <w:rsid w:val="00D1279B"/>
    <w:rPr>
      <w:color w:val="605E5C"/>
      <w:shd w:val="clear" w:color="auto" w:fill="E1DFDD"/>
    </w:rPr>
  </w:style>
  <w:style w:type="character" w:styleId="FollowedHyperlink">
    <w:name w:val="FollowedHyperlink"/>
    <w:basedOn w:val="DefaultParagraphFont"/>
    <w:uiPriority w:val="99"/>
    <w:semiHidden/>
    <w:unhideWhenUsed/>
    <w:rsid w:val="00D1279B"/>
    <w:rPr>
      <w:color w:val="43BE8C" w:themeColor="followedHyperlink"/>
      <w:u w:val="single"/>
    </w:rPr>
  </w:style>
  <w:style w:type="paragraph" w:styleId="TOC1">
    <w:name w:val="toc 1"/>
    <w:basedOn w:val="Normal"/>
    <w:next w:val="Normal"/>
    <w:autoRedefine/>
    <w:uiPriority w:val="39"/>
    <w:unhideWhenUsed/>
    <w:rsid w:val="00D1279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health.vic.gov.au/sites/default/files/Encountering-Resistance-Gender-Equalit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safeandequal.org.au/resources/overcoming-resistance-and-backlash-a-guide-for-primary-prevention-practitioners/__;!!C5rN6bSF!BoaaImZveD-Dkbz4uqNjAfglIsucCFMB6_ayJTkwTYMIPRwpmfTxWtYN5VnzFnaqR57JdWj8g7cNFGuf4539vtkDNaTbUkCU-_EFuBr1i8KU1VdR$" TargetMode="External"/><Relationship Id="rId17" Type="http://schemas.openxmlformats.org/officeDocument/2006/relationships/hyperlink" Target="mailto:contact@respectvictoria.vic.gov.au" TargetMode="External"/><Relationship Id="rId2" Type="http://schemas.openxmlformats.org/officeDocument/2006/relationships/customXml" Target="../customXml/item2.xml"/><Relationship Id="rId16" Type="http://schemas.openxmlformats.org/officeDocument/2006/relationships/hyperlink" Target="https://www.respectvictoria.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andequal.org.au/resources/overcoming-resistance-and-backlash-a-guide-for-primary-prevention-practitioners/" TargetMode="External"/><Relationship Id="rId5" Type="http://schemas.openxmlformats.org/officeDocument/2006/relationships/numbering" Target="numbering.xml"/><Relationship Id="rId15" Type="http://schemas.openxmlformats.org/officeDocument/2006/relationships/hyperlink" Target="https://safeandequal.org.au/" TargetMode="External"/><Relationship Id="rId10" Type="http://schemas.openxmlformats.org/officeDocument/2006/relationships/hyperlink" Target="https://safeandequal.org.au/training-events/course-details/?course_id=80594&amp;course_type=w"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safeandequal.org.au/training-events/course-details/?course_id=78821&amp;course_type=w" TargetMode="External"/><Relationship Id="rId14" Type="http://schemas.openxmlformats.org/officeDocument/2006/relationships/hyperlink" Target="https://respect-victoria.digitalpigeon.com/shr/lTb9kG5CEe6-iwZIlpBgGQ/oZrPG3AokrGYS14uR4naQA"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497841DEE57D408268CE8D2B628A6E" ma:contentTypeVersion="16" ma:contentTypeDescription="Create a new document." ma:contentTypeScope="" ma:versionID="38929ddba7fccc084119ae3c0865d593">
  <xsd:schema xmlns:xsd="http://www.w3.org/2001/XMLSchema" xmlns:xs="http://www.w3.org/2001/XMLSchema" xmlns:p="http://schemas.microsoft.com/office/2006/metadata/properties" xmlns:ns2="3863c051-14b8-498c-9895-eddec4fa1d14" xmlns:ns3="5ce0f2b5-5be5-4508-bce9-d7011ece0659" xmlns:ns4="d8a81fb4-2740-4440-82bd-7caf6f2de287" targetNamespace="http://schemas.microsoft.com/office/2006/metadata/properties" ma:root="true" ma:fieldsID="f1de178c170e70391721de7510a8b67d" ns2:_="" ns3:_="" ns4:_="">
    <xsd:import namespace="3863c051-14b8-498c-9895-eddec4fa1d14"/>
    <xsd:import namespace="5ce0f2b5-5be5-4508-bce9-d7011ece0659"/>
    <xsd:import namespace="d8a81fb4-2740-4440-82bd-7caf6f2de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3c051-14b8-498c-9895-eddec4fa1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1f54ee-780e-4002-a58f-1187248705b8}"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863c051-14b8-498c-9895-eddec4fa1d14">
      <Terms xmlns="http://schemas.microsoft.com/office/infopath/2007/PartnerControls"/>
    </lcf76f155ced4ddcb4097134ff3c332f>
    <SharedWithUsers xmlns="d8a81fb4-2740-4440-82bd-7caf6f2de287">
      <UserInfo>
        <DisplayName/>
        <AccountId xsi:nil="true"/>
        <AccountType/>
      </UserInfo>
    </SharedWithUsers>
    <MediaLengthInSeconds xmlns="3863c051-14b8-498c-9895-eddec4fa1d14" xsi:nil="true"/>
  </documentManagement>
</p:properties>
</file>

<file path=customXml/itemProps1.xml><?xml version="1.0" encoding="utf-8"?>
<ds:datastoreItem xmlns:ds="http://schemas.openxmlformats.org/officeDocument/2006/customXml" ds:itemID="{57606EDC-3C47-4EAE-84A8-710A98044BDE}">
  <ds:schemaRefs>
    <ds:schemaRef ds:uri="http://schemas.openxmlformats.org/officeDocument/2006/bibliography"/>
  </ds:schemaRefs>
</ds:datastoreItem>
</file>

<file path=customXml/itemProps2.xml><?xml version="1.0" encoding="utf-8"?>
<ds:datastoreItem xmlns:ds="http://schemas.openxmlformats.org/officeDocument/2006/customXml" ds:itemID="{AE6618BA-C622-4522-A4C9-22B3D1E23D60}"/>
</file>

<file path=customXml/itemProps3.xml><?xml version="1.0" encoding="utf-8"?>
<ds:datastoreItem xmlns:ds="http://schemas.openxmlformats.org/officeDocument/2006/customXml" ds:itemID="{F6EFCE02-7336-4970-B43A-25B74CFB4CF7}">
  <ds:schemaRefs>
    <ds:schemaRef ds:uri="http://schemas.microsoft.com/sharepoint/v3/contenttype/forms"/>
  </ds:schemaRefs>
</ds:datastoreItem>
</file>

<file path=customXml/itemProps4.xml><?xml version="1.0" encoding="utf-8"?>
<ds:datastoreItem xmlns:ds="http://schemas.openxmlformats.org/officeDocument/2006/customXml" ds:itemID="{AE651823-BD56-401B-BC39-4D213EFDE339}">
  <ds:schemaRefs>
    <ds:schemaRef ds:uri="15386ae6-d6e4-410d-bbce-8fbbbc1c59b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37b14a8-e97b-43ef-92f5-1a3789b1ea16"/>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2707</Words>
  <Characters>15430</Characters>
  <Application>Microsoft Office Word</Application>
  <DocSecurity>0</DocSecurity>
  <Lines>128</Lines>
  <Paragraphs>36</Paragraphs>
  <ScaleCrop>false</ScaleCrop>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Hallam</dc:creator>
  <cp:keywords/>
  <dc:description/>
  <cp:lastModifiedBy>Alexandra Hallam</cp:lastModifiedBy>
  <cp:revision>1</cp:revision>
  <dcterms:created xsi:type="dcterms:W3CDTF">2023-10-26T08:33:00Z</dcterms:created>
  <dcterms:modified xsi:type="dcterms:W3CDTF">2023-10-26T08:41:00Z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0x01010085497841DEE57D408268CE8D2B628A6E</vt:lpwstr>
  </property>
  <property fmtid="{D5CDD505-2E9C-101B-9397-08002B2CF9AE}" pid="3" name="Order">
    <vt:r8>8600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{"FileActivityType":"9","FileActivityTimeStamp":"2023-10-26T08:41:55.533Z","FileActivityUsersOnPage":[{"DisplayName":"Alexandra Hallam (RespectVictoria)","Id":"alexandra.hallam@respectvictoria.vic.gov.au"}],"FileActivityNavigationId":null}</vt:lpwstr>
  </property>
  <property fmtid="{D5CDD505-2E9C-101B-9397-08002B2CF9AE}" pid="8" name="_ExtendedDescription">
    <vt:lpwstr/>
  </property>
  <property fmtid="{D5CDD505-2E9C-101B-9397-08002B2CF9AE}" pid="9" name="TriggerFlowInfo">
    <vt:lpwstr/>
  </property>
</Properties>
</file>