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5555248"/>
    <w:bookmarkEnd w:id="0"/>
    <w:p w14:paraId="71B2516F" w14:textId="568C8BCB" w:rsidR="00B85EB4" w:rsidRDefault="006E6038" w:rsidP="00B85EB4">
      <w:r>
        <w:rPr>
          <w:noProof/>
        </w:rPr>
        <mc:AlternateContent>
          <mc:Choice Requires="wps">
            <w:drawing>
              <wp:anchor distT="0" distB="0" distL="114300" distR="114300" simplePos="0" relativeHeight="251693056" behindDoc="0" locked="0" layoutInCell="1" allowOverlap="1" wp14:anchorId="0A0ACC57" wp14:editId="6CDA5F48">
                <wp:simplePos x="0" y="0"/>
                <wp:positionH relativeFrom="column">
                  <wp:posOffset>1758950</wp:posOffset>
                </wp:positionH>
                <wp:positionV relativeFrom="paragraph">
                  <wp:posOffset>1470660</wp:posOffset>
                </wp:positionV>
                <wp:extent cx="4465320" cy="2185670"/>
                <wp:effectExtent l="0" t="0" r="0" b="5080"/>
                <wp:wrapNone/>
                <wp:docPr id="53" name="Text Box 53"/>
                <wp:cNvGraphicFramePr/>
                <a:graphic xmlns:a="http://schemas.openxmlformats.org/drawingml/2006/main">
                  <a:graphicData uri="http://schemas.microsoft.com/office/word/2010/wordprocessingShape">
                    <wps:wsp>
                      <wps:cNvSpPr txBox="1"/>
                      <wps:spPr>
                        <a:xfrm>
                          <a:off x="0" y="0"/>
                          <a:ext cx="4465320" cy="2185670"/>
                        </a:xfrm>
                        <a:prstGeom prst="rect">
                          <a:avLst/>
                        </a:prstGeom>
                        <a:solidFill>
                          <a:schemeClr val="lt1"/>
                        </a:solidFill>
                        <a:ln w="6350">
                          <a:noFill/>
                        </a:ln>
                      </wps:spPr>
                      <wps:txbx>
                        <w:txbxContent>
                          <w:p w14:paraId="082CA5AD" w14:textId="04328FF2" w:rsidR="007F50DB" w:rsidRPr="00CB6488" w:rsidRDefault="007F50DB" w:rsidP="005A0163">
                            <w:pPr>
                              <w:pStyle w:val="Subtitle"/>
                              <w:rPr>
                                <w:rFonts w:ascii="Rubik" w:eastAsiaTheme="majorEastAsia" w:hAnsi="Rubik" w:cstheme="majorBidi"/>
                                <w:b/>
                                <w:spacing w:val="-10"/>
                                <w:kern w:val="28"/>
                                <w:sz w:val="50"/>
                                <w:szCs w:val="72"/>
                              </w:rPr>
                            </w:pPr>
                            <w:r w:rsidRPr="00CB6488">
                              <w:rPr>
                                <w:rFonts w:ascii="Rubik" w:eastAsiaTheme="majorEastAsia" w:hAnsi="Rubik" w:cstheme="majorBidi"/>
                                <w:b/>
                                <w:spacing w:val="-10"/>
                                <w:kern w:val="28"/>
                                <w:sz w:val="50"/>
                                <w:szCs w:val="72"/>
                              </w:rPr>
                              <w:t xml:space="preserve">Understanding, </w:t>
                            </w:r>
                            <w:proofErr w:type="gramStart"/>
                            <w:r w:rsidRPr="00CB6488">
                              <w:rPr>
                                <w:rFonts w:ascii="Rubik" w:eastAsiaTheme="majorEastAsia" w:hAnsi="Rubik" w:cstheme="majorBidi"/>
                                <w:b/>
                                <w:spacing w:val="-10"/>
                                <w:kern w:val="28"/>
                                <w:sz w:val="50"/>
                                <w:szCs w:val="72"/>
                              </w:rPr>
                              <w:t>monitoring</w:t>
                            </w:r>
                            <w:proofErr w:type="gramEnd"/>
                            <w:r w:rsidRPr="00CB6488">
                              <w:rPr>
                                <w:rFonts w:ascii="Rubik" w:eastAsiaTheme="majorEastAsia" w:hAnsi="Rubik" w:cstheme="majorBidi"/>
                                <w:b/>
                                <w:spacing w:val="-10"/>
                                <w:kern w:val="28"/>
                                <w:sz w:val="50"/>
                                <w:szCs w:val="72"/>
                              </w:rPr>
                              <w:t xml:space="preserve"> and responding to resistance and backlash</w:t>
                            </w:r>
                          </w:p>
                          <w:p w14:paraId="414DADF3" w14:textId="1086390E" w:rsidR="007F50DB" w:rsidRPr="00CB6488" w:rsidRDefault="007F50DB" w:rsidP="00D72343">
                            <w:pPr>
                              <w:pStyle w:val="Subtitle"/>
                              <w:rPr>
                                <w:rFonts w:ascii="Arial" w:hAnsi="Arial" w:cs="Arial"/>
                                <w:sz w:val="28"/>
                                <w:szCs w:val="24"/>
                              </w:rPr>
                            </w:pPr>
                            <w:r w:rsidRPr="00CB6488">
                              <w:rPr>
                                <w:rFonts w:ascii="Arial" w:hAnsi="Arial" w:cs="Arial"/>
                                <w:sz w:val="28"/>
                                <w:szCs w:val="24"/>
                              </w:rPr>
                              <w:t xml:space="preserve">A report prepared by </w:t>
                            </w:r>
                            <w:r w:rsidRPr="00CB6488">
                              <w:rPr>
                                <w:rFonts w:ascii="Arial" w:hAnsi="Arial" w:cs="Arial"/>
                                <w:sz w:val="28"/>
                                <w:szCs w:val="24"/>
                              </w:rPr>
                              <w:br/>
                              <w:t xml:space="preserve">Our Watch for </w:t>
                            </w:r>
                            <w:r w:rsidRPr="00CB6488">
                              <w:rPr>
                                <w:rFonts w:ascii="Arial" w:hAnsi="Arial" w:cs="Arial"/>
                                <w:color w:val="E57200"/>
                                <w:sz w:val="28"/>
                                <w:szCs w:val="24"/>
                              </w:rPr>
                              <w:t>Respect Victoria</w:t>
                            </w:r>
                          </w:p>
                          <w:p w14:paraId="05C1AA63" w14:textId="52F2A26A" w:rsidR="007F50DB" w:rsidRPr="004377AD" w:rsidRDefault="007F50DB" w:rsidP="00D72343">
                            <w:pPr>
                              <w:pStyle w:val="Subtitle"/>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ACC57" id="_x0000_t202" coordsize="21600,21600" o:spt="202" path="m,l,21600r21600,l21600,xe">
                <v:stroke joinstyle="miter"/>
                <v:path gradientshapeok="t" o:connecttype="rect"/>
              </v:shapetype>
              <v:shape id="Text Box 53" o:spid="_x0000_s1026" type="#_x0000_t202" style="position:absolute;margin-left:138.5pt;margin-top:115.8pt;width:351.6pt;height:17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" fillcolor="white [3201]" stroked="f" strokeweight=".5pt">
                <v:textbox inset="0,0,0,0">
                  <w:txbxContent>
                    <w:p w14:paraId="082CA5AD" w14:textId="04328FF2" w:rsidR="007F50DB" w:rsidRPr="00CB6488" w:rsidRDefault="007F50DB" w:rsidP="005A0163">
                      <w:pPr>
                        <w:pStyle w:val="Subtitle"/>
                        <w:rPr>
                          <w:rFonts w:ascii="Rubik" w:eastAsiaTheme="majorEastAsia" w:hAnsi="Rubik" w:cstheme="majorBidi"/>
                          <w:b/>
                          <w:spacing w:val="-10"/>
                          <w:kern w:val="28"/>
                          <w:sz w:val="50"/>
                          <w:szCs w:val="72"/>
                        </w:rPr>
                      </w:pPr>
                      <w:r w:rsidRPr="00CB6488">
                        <w:rPr>
                          <w:rFonts w:ascii="Rubik" w:eastAsiaTheme="majorEastAsia" w:hAnsi="Rubik" w:cstheme="majorBidi"/>
                          <w:b/>
                          <w:spacing w:val="-10"/>
                          <w:kern w:val="28"/>
                          <w:sz w:val="50"/>
                          <w:szCs w:val="72"/>
                        </w:rPr>
                        <w:t xml:space="preserve">Understanding, </w:t>
                      </w:r>
                      <w:proofErr w:type="gramStart"/>
                      <w:r w:rsidRPr="00CB6488">
                        <w:rPr>
                          <w:rFonts w:ascii="Rubik" w:eastAsiaTheme="majorEastAsia" w:hAnsi="Rubik" w:cstheme="majorBidi"/>
                          <w:b/>
                          <w:spacing w:val="-10"/>
                          <w:kern w:val="28"/>
                          <w:sz w:val="50"/>
                          <w:szCs w:val="72"/>
                        </w:rPr>
                        <w:t>monitoring</w:t>
                      </w:r>
                      <w:proofErr w:type="gramEnd"/>
                      <w:r w:rsidRPr="00CB6488">
                        <w:rPr>
                          <w:rFonts w:ascii="Rubik" w:eastAsiaTheme="majorEastAsia" w:hAnsi="Rubik" w:cstheme="majorBidi"/>
                          <w:b/>
                          <w:spacing w:val="-10"/>
                          <w:kern w:val="28"/>
                          <w:sz w:val="50"/>
                          <w:szCs w:val="72"/>
                        </w:rPr>
                        <w:t xml:space="preserve"> and responding to resistance and backlash</w:t>
                      </w:r>
                    </w:p>
                    <w:p w14:paraId="414DADF3" w14:textId="1086390E" w:rsidR="007F50DB" w:rsidRPr="00CB6488" w:rsidRDefault="007F50DB" w:rsidP="00D72343">
                      <w:pPr>
                        <w:pStyle w:val="Subtitle"/>
                        <w:rPr>
                          <w:rFonts w:ascii="Arial" w:hAnsi="Arial" w:cs="Arial"/>
                          <w:sz w:val="28"/>
                          <w:szCs w:val="24"/>
                        </w:rPr>
                      </w:pPr>
                      <w:r w:rsidRPr="00CB6488">
                        <w:rPr>
                          <w:rFonts w:ascii="Arial" w:hAnsi="Arial" w:cs="Arial"/>
                          <w:sz w:val="28"/>
                          <w:szCs w:val="24"/>
                        </w:rPr>
                        <w:t xml:space="preserve">A report prepared by </w:t>
                      </w:r>
                      <w:r w:rsidRPr="00CB6488">
                        <w:rPr>
                          <w:rFonts w:ascii="Arial" w:hAnsi="Arial" w:cs="Arial"/>
                          <w:sz w:val="28"/>
                          <w:szCs w:val="24"/>
                        </w:rPr>
                        <w:br/>
                        <w:t xml:space="preserve">Our Watch for </w:t>
                      </w:r>
                      <w:r w:rsidRPr="00CB6488">
                        <w:rPr>
                          <w:rFonts w:ascii="Arial" w:hAnsi="Arial" w:cs="Arial"/>
                          <w:color w:val="E57200"/>
                          <w:sz w:val="28"/>
                          <w:szCs w:val="24"/>
                        </w:rPr>
                        <w:t>Respect Victoria</w:t>
                      </w:r>
                    </w:p>
                    <w:p w14:paraId="05C1AA63" w14:textId="52F2A26A" w:rsidR="007F50DB" w:rsidRPr="004377AD" w:rsidRDefault="007F50DB" w:rsidP="00D72343">
                      <w:pPr>
                        <w:pStyle w:val="Subtitle"/>
                        <w:rPr>
                          <w:rFonts w:ascii="Arial" w:hAnsi="Arial" w:cs="Arial"/>
                        </w:rPr>
                      </w:pPr>
                    </w:p>
                  </w:txbxContent>
                </v:textbox>
              </v:shape>
            </w:pict>
          </mc:Fallback>
        </mc:AlternateContent>
      </w:r>
      <w:r w:rsidR="00B85EB4">
        <w:rPr>
          <w:noProof/>
        </w:rPr>
        <mc:AlternateContent>
          <mc:Choice Requires="wps">
            <w:drawing>
              <wp:anchor distT="0" distB="0" distL="114300" distR="114300" simplePos="0" relativeHeight="251696128" behindDoc="0" locked="0" layoutInCell="1" allowOverlap="1" wp14:anchorId="60EAF560" wp14:editId="68DBD285">
                <wp:simplePos x="0" y="0"/>
                <wp:positionH relativeFrom="column">
                  <wp:posOffset>4587240</wp:posOffset>
                </wp:positionH>
                <wp:positionV relativeFrom="paragraph">
                  <wp:posOffset>7943132</wp:posOffset>
                </wp:positionV>
                <wp:extent cx="1732915" cy="113601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732915" cy="1136015"/>
                        </a:xfrm>
                        <a:prstGeom prst="rect">
                          <a:avLst/>
                        </a:prstGeom>
                        <a:solidFill>
                          <a:schemeClr val="lt1"/>
                        </a:solidFill>
                        <a:ln w="6350">
                          <a:noFill/>
                        </a:ln>
                      </wps:spPr>
                      <wps:txbx>
                        <w:txbxContent>
                          <w:p w14:paraId="4EF142F1" w14:textId="77777777" w:rsidR="007F50DB" w:rsidRDefault="007F50DB" w:rsidP="00B85EB4"/>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AF560" id="Text Box 50" o:spid="_x0000_s1027" type="#_x0000_t202" style="position:absolute;margin-left:361.2pt;margin-top:625.45pt;width:136.45pt;height:89.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" fillcolor="white [3201]" stroked="f" strokeweight=".5pt">
                <v:textbox inset="0,,0">
                  <w:txbxContent>
                    <w:p w14:paraId="4EF142F1" w14:textId="77777777" w:rsidR="007F50DB" w:rsidRDefault="007F50DB" w:rsidP="00B85EB4"/>
                  </w:txbxContent>
                </v:textbox>
              </v:shape>
            </w:pict>
          </mc:Fallback>
        </mc:AlternateContent>
      </w:r>
      <w:r w:rsidR="00B85EB4">
        <w:br w:type="page"/>
      </w:r>
    </w:p>
    <w:p w14:paraId="2BD2B280" w14:textId="77777777" w:rsidR="006E6038" w:rsidRPr="00D01053" w:rsidRDefault="006E6038" w:rsidP="00B85EB4">
      <w:pPr>
        <w:rPr>
          <w:rFonts w:asciiTheme="minorHAnsi" w:eastAsiaTheme="minorHAnsi" w:hAnsiTheme="minorHAnsi" w:cstheme="minorBidi"/>
          <w:szCs w:val="24"/>
        </w:rPr>
      </w:pPr>
    </w:p>
    <w:p w14:paraId="6DCA64B3" w14:textId="33831298" w:rsidR="00E311C3" w:rsidRPr="00D82753" w:rsidRDefault="00E311C3" w:rsidP="00D82753">
      <w:pPr>
        <w:rPr>
          <w:rFonts w:asciiTheme="minorHAnsi" w:eastAsiaTheme="minorHAnsi" w:hAnsiTheme="minorHAnsi" w:cstheme="minorBidi"/>
          <w:szCs w:val="24"/>
        </w:rPr>
      </w:pPr>
    </w:p>
    <w:p w14:paraId="3608F97F" w14:textId="5BFF0A0A" w:rsidR="002C70D7" w:rsidRDefault="002C70D7" w:rsidP="00B6695C">
      <w:pPr>
        <w:pStyle w:val="BodyText1"/>
        <w:spacing w:line="360" w:lineRule="auto"/>
        <w:ind w:left="1985" w:right="1985"/>
      </w:pPr>
      <w:bookmarkStart w:id="1" w:name="_Toc66188441"/>
      <w:bookmarkStart w:id="2" w:name="_Toc66188966"/>
      <w:bookmarkStart w:id="3" w:name="_Toc66190736"/>
    </w:p>
    <w:p w14:paraId="4370AA89" w14:textId="62310C55" w:rsidR="00E538B2" w:rsidRDefault="00C92CE8" w:rsidP="00B6695C">
      <w:pPr>
        <w:pStyle w:val="BodyText1"/>
        <w:spacing w:line="360" w:lineRule="auto"/>
        <w:ind w:left="1985" w:right="1985"/>
        <w:sectPr w:rsidR="00E538B2" w:rsidSect="003F72A1">
          <w:headerReference w:type="even" r:id="rId12"/>
          <w:headerReference w:type="default" r:id="rId13"/>
          <w:footerReference w:type="even" r:id="rId14"/>
          <w:footerReference w:type="default" r:id="rId15"/>
          <w:headerReference w:type="first" r:id="rId16"/>
          <w:footerReference w:type="first" r:id="rId17"/>
          <w:type w:val="continuous"/>
          <w:pgSz w:w="11901" w:h="16840"/>
          <w:pgMar w:top="1701" w:right="851" w:bottom="1985" w:left="851" w:header="709" w:footer="709" w:gutter="0"/>
          <w:cols w:space="720"/>
          <w:titlePg/>
          <w:docGrid w:linePitch="326"/>
        </w:sectPr>
      </w:pPr>
      <w:r>
        <w:rPr>
          <w:noProof/>
        </w:rPr>
        <mc:AlternateContent>
          <mc:Choice Requires="wps">
            <w:drawing>
              <wp:anchor distT="0" distB="0" distL="114300" distR="114300" simplePos="0" relativeHeight="251688960" behindDoc="0" locked="0" layoutInCell="1" allowOverlap="1" wp14:anchorId="4122682B" wp14:editId="3FB4C701">
                <wp:simplePos x="0" y="0"/>
                <wp:positionH relativeFrom="column">
                  <wp:posOffset>625475</wp:posOffset>
                </wp:positionH>
                <wp:positionV relativeFrom="paragraph">
                  <wp:posOffset>1833880</wp:posOffset>
                </wp:positionV>
                <wp:extent cx="5280660" cy="3200400"/>
                <wp:effectExtent l="25400" t="25400" r="27940" b="25400"/>
                <wp:wrapNone/>
                <wp:docPr id="43" name="Text Box 43"/>
                <wp:cNvGraphicFramePr/>
                <a:graphic xmlns:a="http://schemas.openxmlformats.org/drawingml/2006/main">
                  <a:graphicData uri="http://schemas.microsoft.com/office/word/2010/wordprocessingShape">
                    <wps:wsp>
                      <wps:cNvSpPr txBox="1"/>
                      <wps:spPr>
                        <a:xfrm>
                          <a:off x="0" y="0"/>
                          <a:ext cx="5280660" cy="3200400"/>
                        </a:xfrm>
                        <a:prstGeom prst="rect">
                          <a:avLst/>
                        </a:prstGeom>
                        <a:solidFill>
                          <a:schemeClr val="lt1"/>
                        </a:solidFill>
                        <a:ln w="50800">
                          <a:solidFill>
                            <a:srgbClr val="E57200"/>
                          </a:solidFill>
                        </a:ln>
                      </wps:spPr>
                      <wps:txbx>
                        <w:txbxContent>
                          <w:p w14:paraId="326E6959" w14:textId="77777777" w:rsidR="007F50DB" w:rsidRPr="005A0163" w:rsidRDefault="007F50DB" w:rsidP="005A0163">
                            <w:pPr>
                              <w:spacing w:before="240" w:after="240" w:line="360" w:lineRule="auto"/>
                              <w:ind w:left="567" w:right="567"/>
                              <w:jc w:val="center"/>
                              <w:rPr>
                                <w:rFonts w:ascii="Rubik Light" w:hAnsi="Rubik Light" w:cs="Rubik Light"/>
                                <w:color w:val="E57200"/>
                                <w:sz w:val="32"/>
                                <w:szCs w:val="20"/>
                              </w:rPr>
                            </w:pPr>
                            <w:bookmarkStart w:id="4" w:name="_Toc85032890"/>
                            <w:r w:rsidRPr="005A0163">
                              <w:rPr>
                                <w:rFonts w:ascii="Rubik Light" w:hAnsi="Rubik Light" w:cs="Rubik Light"/>
                                <w:color w:val="E57200"/>
                                <w:sz w:val="32"/>
                                <w:szCs w:val="20"/>
                              </w:rPr>
                              <w:t>Acknowledgement of Country</w:t>
                            </w:r>
                            <w:bookmarkEnd w:id="4"/>
                          </w:p>
                          <w:p w14:paraId="6101FFA6" w14:textId="2CF2AC15" w:rsidR="007F50DB" w:rsidRPr="005A0163" w:rsidRDefault="007F50DB" w:rsidP="005A0163">
                            <w:pPr>
                              <w:spacing w:before="240" w:after="240" w:line="360" w:lineRule="auto"/>
                              <w:ind w:left="567" w:right="567"/>
                            </w:pPr>
                            <w:r w:rsidRPr="005A0163">
                              <w:t xml:space="preserve">Our Watch </w:t>
                            </w:r>
                            <w:r>
                              <w:t xml:space="preserve">&amp; Respect Victoria </w:t>
                            </w:r>
                            <w:r w:rsidRPr="005A0163">
                              <w:t>acknowledge and pay o</w:t>
                            </w:r>
                            <w:r>
                              <w:t>u</w:t>
                            </w:r>
                            <w:r w:rsidRPr="005A0163">
                              <w:t>r respects to the traditional owners of the land on which our office</w:t>
                            </w:r>
                            <w:r w:rsidR="0008594D">
                              <w:t>s</w:t>
                            </w:r>
                            <w:r w:rsidRPr="005A0163">
                              <w:t xml:space="preserve"> </w:t>
                            </w:r>
                            <w:r w:rsidR="0008594D">
                              <w:t>are</w:t>
                            </w:r>
                            <w:r w:rsidRPr="005A0163">
                              <w:t xml:space="preserve"> located, the Wurundjeri people of the Kulin Nation. </w:t>
                            </w:r>
                          </w:p>
                          <w:p w14:paraId="79170501" w14:textId="7E4E2BCB" w:rsidR="007F50DB" w:rsidRPr="005A0163" w:rsidRDefault="007F50DB" w:rsidP="005A0163">
                            <w:pPr>
                              <w:spacing w:before="240" w:after="240" w:line="360" w:lineRule="auto"/>
                              <w:ind w:left="567" w:right="567"/>
                            </w:pPr>
                            <w:r>
                              <w:t>W</w:t>
                            </w:r>
                            <w:r w:rsidRPr="005A0163">
                              <w:t xml:space="preserve">e also acknowledge the traditional owners and custodians of </w:t>
                            </w:r>
                            <w:r>
                              <w:t>C</w:t>
                            </w:r>
                            <w:r w:rsidRPr="005A0163">
                              <w:t xml:space="preserve">ountry across Australia and pay our respects to them, their </w:t>
                            </w:r>
                            <w:proofErr w:type="gramStart"/>
                            <w:r w:rsidRPr="005A0163">
                              <w:t>cultures</w:t>
                            </w:r>
                            <w:proofErr w:type="gramEnd"/>
                            <w:r w:rsidRPr="005A0163">
                              <w:t xml:space="preserve"> and their Elders </w:t>
                            </w:r>
                            <w:r w:rsidRPr="008C0921">
                              <w:t>past, present and future</w:t>
                            </w:r>
                            <w:r w:rsidRPr="005A0163">
                              <w:t xml:space="preserve">. </w:t>
                            </w:r>
                          </w:p>
                          <w:p w14:paraId="70EBE917" w14:textId="0FFC66D7" w:rsidR="007F50DB" w:rsidRDefault="007F50DB" w:rsidP="005A0163">
                            <w:pPr>
                              <w:spacing w:before="240" w:after="240" w:line="360" w:lineRule="auto"/>
                              <w:ind w:left="567" w:righ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682B" id="Text Box 43" o:spid="_x0000_s1028" type="#_x0000_t202" style="position:absolute;left:0;text-align:left;margin-left:49.25pt;margin-top:144.4pt;width:415.8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" fillcolor="white [3201]" strokecolor="#e57200" strokeweight="4pt">
                <v:textbox>
                  <w:txbxContent>
                    <w:p w14:paraId="326E6959" w14:textId="77777777" w:rsidR="007F50DB" w:rsidRPr="005A0163" w:rsidRDefault="007F50DB" w:rsidP="005A0163">
                      <w:pPr>
                        <w:spacing w:before="240" w:after="240" w:line="360" w:lineRule="auto"/>
                        <w:ind w:left="567" w:right="567"/>
                        <w:jc w:val="center"/>
                        <w:rPr>
                          <w:rFonts w:ascii="Rubik Light" w:hAnsi="Rubik Light" w:cs="Rubik Light"/>
                          <w:color w:val="E57200"/>
                          <w:sz w:val="32"/>
                          <w:szCs w:val="20"/>
                        </w:rPr>
                      </w:pPr>
                      <w:bookmarkStart w:id="5" w:name="_Toc85032890"/>
                      <w:r w:rsidRPr="005A0163">
                        <w:rPr>
                          <w:rFonts w:ascii="Rubik Light" w:hAnsi="Rubik Light" w:cs="Rubik Light"/>
                          <w:color w:val="E57200"/>
                          <w:sz w:val="32"/>
                          <w:szCs w:val="20"/>
                        </w:rPr>
                        <w:t>Acknowledgement of Country</w:t>
                      </w:r>
                      <w:bookmarkEnd w:id="5"/>
                    </w:p>
                    <w:p w14:paraId="6101FFA6" w14:textId="2CF2AC15" w:rsidR="007F50DB" w:rsidRPr="005A0163" w:rsidRDefault="007F50DB" w:rsidP="005A0163">
                      <w:pPr>
                        <w:spacing w:before="240" w:after="240" w:line="360" w:lineRule="auto"/>
                        <w:ind w:left="567" w:right="567"/>
                      </w:pPr>
                      <w:r w:rsidRPr="005A0163">
                        <w:t xml:space="preserve">Our Watch </w:t>
                      </w:r>
                      <w:r>
                        <w:t xml:space="preserve">&amp; Respect Victoria </w:t>
                      </w:r>
                      <w:r w:rsidRPr="005A0163">
                        <w:t>acknowledge and pay o</w:t>
                      </w:r>
                      <w:r>
                        <w:t>u</w:t>
                      </w:r>
                      <w:r w:rsidRPr="005A0163">
                        <w:t>r respects to the traditional owners of the land on which our office</w:t>
                      </w:r>
                      <w:r w:rsidR="0008594D">
                        <w:t>s</w:t>
                      </w:r>
                      <w:r w:rsidRPr="005A0163">
                        <w:t xml:space="preserve"> </w:t>
                      </w:r>
                      <w:r w:rsidR="0008594D">
                        <w:t>are</w:t>
                      </w:r>
                      <w:r w:rsidRPr="005A0163">
                        <w:t xml:space="preserve"> located, the Wurundjeri people of the Kulin Nation. </w:t>
                      </w:r>
                    </w:p>
                    <w:p w14:paraId="79170501" w14:textId="7E4E2BCB" w:rsidR="007F50DB" w:rsidRPr="005A0163" w:rsidRDefault="007F50DB" w:rsidP="005A0163">
                      <w:pPr>
                        <w:spacing w:before="240" w:after="240" w:line="360" w:lineRule="auto"/>
                        <w:ind w:left="567" w:right="567"/>
                      </w:pPr>
                      <w:r>
                        <w:t>W</w:t>
                      </w:r>
                      <w:r w:rsidRPr="005A0163">
                        <w:t xml:space="preserve">e also acknowledge the traditional owners and custodians of </w:t>
                      </w:r>
                      <w:r>
                        <w:t>C</w:t>
                      </w:r>
                      <w:r w:rsidRPr="005A0163">
                        <w:t xml:space="preserve">ountry across Australia and pay our respects to them, their </w:t>
                      </w:r>
                      <w:proofErr w:type="gramStart"/>
                      <w:r w:rsidRPr="005A0163">
                        <w:t>cultures</w:t>
                      </w:r>
                      <w:proofErr w:type="gramEnd"/>
                      <w:r w:rsidRPr="005A0163">
                        <w:t xml:space="preserve"> and their Elders </w:t>
                      </w:r>
                      <w:r w:rsidRPr="008C0921">
                        <w:t>past, present and future</w:t>
                      </w:r>
                      <w:r w:rsidRPr="005A0163">
                        <w:t xml:space="preserve">. </w:t>
                      </w:r>
                    </w:p>
                    <w:p w14:paraId="70EBE917" w14:textId="0FFC66D7" w:rsidR="007F50DB" w:rsidRDefault="007F50DB" w:rsidP="005A0163">
                      <w:pPr>
                        <w:spacing w:before="240" w:after="240" w:line="360" w:lineRule="auto"/>
                        <w:ind w:left="567" w:right="567"/>
                      </w:pPr>
                    </w:p>
                  </w:txbxContent>
                </v:textbox>
              </v:shape>
            </w:pict>
          </mc:Fallback>
        </mc:AlternateContent>
      </w:r>
      <w:r w:rsidR="003D566D">
        <w:br w:type="page"/>
      </w:r>
    </w:p>
    <w:p w14:paraId="45433BC9" w14:textId="77777777" w:rsidR="008B5A41" w:rsidRDefault="00E538B2" w:rsidP="008B5A41">
      <w:pPr>
        <w:pStyle w:val="Heading2"/>
        <w:spacing w:before="0"/>
      </w:pPr>
      <w:bookmarkStart w:id="5" w:name="_Toc85620711"/>
      <w:bookmarkStart w:id="6" w:name="_Toc87526299"/>
      <w:r w:rsidRPr="00811DE1">
        <w:lastRenderedPageBreak/>
        <w:t>Acknowledgements</w:t>
      </w:r>
      <w:bookmarkStart w:id="7" w:name="_Toc66188443"/>
      <w:bookmarkStart w:id="8" w:name="_Toc66188968"/>
      <w:bookmarkStart w:id="9" w:name="_Toc66190738"/>
      <w:bookmarkEnd w:id="1"/>
      <w:bookmarkEnd w:id="2"/>
      <w:bookmarkEnd w:id="3"/>
      <w:bookmarkEnd w:id="5"/>
      <w:bookmarkEnd w:id="6"/>
    </w:p>
    <w:p w14:paraId="21044191" w14:textId="77777777" w:rsidR="008B5A41" w:rsidRDefault="007F3792" w:rsidP="008B5A41">
      <w:pPr>
        <w:pStyle w:val="BodyText1"/>
        <w:rPr>
          <w:szCs w:val="22"/>
        </w:rPr>
      </w:pPr>
      <w:r w:rsidRPr="008B5A41">
        <w:rPr>
          <w:szCs w:val="22"/>
        </w:rPr>
        <w:t>This project was funded and supported by Respect Victoria and undertaken by Our Watch.</w:t>
      </w:r>
    </w:p>
    <w:p w14:paraId="13A94C44" w14:textId="43EEE1D6" w:rsidR="007F3792" w:rsidRDefault="0098428F" w:rsidP="0098428F">
      <w:pPr>
        <w:pStyle w:val="BodyText1"/>
      </w:pPr>
      <w:r>
        <w:t>The lead author for this Report was Dr Sarah Hewitt.</w:t>
      </w:r>
    </w:p>
    <w:p w14:paraId="60DF75E9" w14:textId="3DC948E9" w:rsidR="007F3792" w:rsidRDefault="007F3792" w:rsidP="007F3792">
      <w:r>
        <w:t xml:space="preserve">We wish to sincerely thank all individuals and stakeholders who generously shared their time and insights on resistance and backlash, especially those individuals who are de-identified who agreed to be quoted in this report. </w:t>
      </w:r>
    </w:p>
    <w:p w14:paraId="6DFEDACC" w14:textId="651CC13D" w:rsidR="0098428F" w:rsidRDefault="0098428F" w:rsidP="007F3792"/>
    <w:p w14:paraId="1B2E2830" w14:textId="500EF843" w:rsidR="0098428F" w:rsidRDefault="0098428F" w:rsidP="0098428F">
      <w:pPr>
        <w:pStyle w:val="Heading2"/>
        <w:spacing w:before="0"/>
      </w:pPr>
      <w:r>
        <w:t>Purpose of the Report</w:t>
      </w:r>
    </w:p>
    <w:p w14:paraId="695714E7" w14:textId="4CC9D7B4" w:rsidR="0098428F" w:rsidRDefault="0098428F" w:rsidP="0098428F">
      <w:r w:rsidRPr="0098428F">
        <w:t xml:space="preserve">This Report outlines the growing evidence base in relation to resistance and backlash. It is presented as an initial approach for testing and reflection and was developed with the intention of providing Respect Victoria with the current evidence base to inform their work.  </w:t>
      </w:r>
    </w:p>
    <w:p w14:paraId="38958229" w14:textId="62E79D5C" w:rsidR="005C4BBB" w:rsidRPr="00811DE1" w:rsidRDefault="00E538B2" w:rsidP="00CC17BE">
      <w:pPr>
        <w:pStyle w:val="Heading2"/>
        <w:spacing w:before="0"/>
      </w:pPr>
      <w:r>
        <w:br w:type="column"/>
      </w:r>
      <w:bookmarkStart w:id="10" w:name="_Toc85620712"/>
      <w:bookmarkStart w:id="11" w:name="_Toc86850596"/>
      <w:bookmarkStart w:id="12" w:name="_Toc87526300"/>
      <w:r w:rsidRPr="00811DE1">
        <w:t>Author</w:t>
      </w:r>
      <w:bookmarkEnd w:id="7"/>
      <w:bookmarkEnd w:id="8"/>
      <w:bookmarkEnd w:id="9"/>
      <w:bookmarkEnd w:id="10"/>
      <w:bookmarkEnd w:id="11"/>
      <w:bookmarkEnd w:id="12"/>
    </w:p>
    <w:p w14:paraId="0512F5F9" w14:textId="51775919" w:rsidR="00DA714D" w:rsidRDefault="0098428F" w:rsidP="00E538B2">
      <w:r>
        <w:t>Our Watch</w:t>
      </w:r>
    </w:p>
    <w:p w14:paraId="243441C2" w14:textId="6543B480" w:rsidR="003D566D" w:rsidRPr="002906D7" w:rsidRDefault="00E538B2" w:rsidP="00AA6C70">
      <w:pPr>
        <w:pStyle w:val="Heading2"/>
      </w:pPr>
      <w:bookmarkStart w:id="13" w:name="_Toc66188442"/>
      <w:bookmarkStart w:id="14" w:name="_Toc66188967"/>
      <w:bookmarkStart w:id="15" w:name="_Toc66190737"/>
      <w:bookmarkStart w:id="16" w:name="_Toc85620713"/>
      <w:bookmarkStart w:id="17" w:name="_Toc87526301"/>
      <w:r w:rsidRPr="00AA6C70">
        <w:t>Suggested</w:t>
      </w:r>
      <w:r w:rsidRPr="002906D7">
        <w:t xml:space="preserve"> citation</w:t>
      </w:r>
      <w:bookmarkEnd w:id="13"/>
      <w:bookmarkEnd w:id="14"/>
      <w:bookmarkEnd w:id="15"/>
      <w:bookmarkEnd w:id="16"/>
      <w:bookmarkEnd w:id="17"/>
    </w:p>
    <w:p w14:paraId="0B77594C" w14:textId="77777777" w:rsidR="0098428F" w:rsidRDefault="0098428F" w:rsidP="00AA6C70">
      <w:pPr>
        <w:pStyle w:val="Heading2"/>
        <w:rPr>
          <w:rFonts w:eastAsiaTheme="minorHAnsi" w:cstheme="minorHAnsi"/>
          <w:b w:val="0"/>
          <w:color w:val="auto"/>
          <w:sz w:val="24"/>
          <w:szCs w:val="20"/>
          <w:lang w:eastAsia="en-US" w:bidi="ar-SA"/>
        </w:rPr>
      </w:pPr>
      <w:bookmarkStart w:id="18" w:name="_Toc66188444"/>
      <w:bookmarkStart w:id="19" w:name="_Toc66188969"/>
      <w:bookmarkStart w:id="20" w:name="_Toc66190739"/>
      <w:bookmarkStart w:id="21" w:name="_Toc85620714"/>
      <w:bookmarkStart w:id="22" w:name="_Toc87526302"/>
      <w:r w:rsidRPr="0098428F">
        <w:rPr>
          <w:rFonts w:eastAsiaTheme="minorHAnsi" w:cstheme="minorHAnsi"/>
          <w:b w:val="0"/>
          <w:color w:val="auto"/>
          <w:sz w:val="24"/>
          <w:szCs w:val="20"/>
          <w:lang w:eastAsia="en-US" w:bidi="ar-SA"/>
        </w:rPr>
        <w:t xml:space="preserve">Our Watch (2022) Understanding, </w:t>
      </w:r>
      <w:proofErr w:type="gramStart"/>
      <w:r w:rsidRPr="0098428F">
        <w:rPr>
          <w:rFonts w:eastAsiaTheme="minorHAnsi" w:cstheme="minorHAnsi"/>
          <w:b w:val="0"/>
          <w:color w:val="auto"/>
          <w:sz w:val="24"/>
          <w:szCs w:val="20"/>
          <w:lang w:eastAsia="en-US" w:bidi="ar-SA"/>
        </w:rPr>
        <w:t>monitoring</w:t>
      </w:r>
      <w:proofErr w:type="gramEnd"/>
      <w:r w:rsidRPr="0098428F">
        <w:rPr>
          <w:rFonts w:eastAsiaTheme="minorHAnsi" w:cstheme="minorHAnsi"/>
          <w:b w:val="0"/>
          <w:color w:val="auto"/>
          <w:sz w:val="24"/>
          <w:szCs w:val="20"/>
          <w:lang w:eastAsia="en-US" w:bidi="ar-SA"/>
        </w:rPr>
        <w:t xml:space="preserve"> and responding to resistance and backlash. Melbourne, Respect </w:t>
      </w:r>
      <w:proofErr w:type="gramStart"/>
      <w:r w:rsidRPr="0098428F">
        <w:rPr>
          <w:rFonts w:eastAsiaTheme="minorHAnsi" w:cstheme="minorHAnsi"/>
          <w:b w:val="0"/>
          <w:color w:val="auto"/>
          <w:sz w:val="24"/>
          <w:szCs w:val="20"/>
          <w:lang w:eastAsia="en-US" w:bidi="ar-SA"/>
        </w:rPr>
        <w:t>Victoria</w:t>
      </w:r>
      <w:proofErr w:type="gramEnd"/>
      <w:r w:rsidRPr="0098428F">
        <w:rPr>
          <w:rFonts w:eastAsiaTheme="minorHAnsi" w:cstheme="minorHAnsi"/>
          <w:b w:val="0"/>
          <w:color w:val="auto"/>
          <w:sz w:val="24"/>
          <w:szCs w:val="20"/>
          <w:lang w:eastAsia="en-US" w:bidi="ar-SA"/>
        </w:rPr>
        <w:t xml:space="preserve"> and Our Watch. </w:t>
      </w:r>
    </w:p>
    <w:p w14:paraId="43A9974D" w14:textId="2ED1D35F" w:rsidR="003D566D" w:rsidRPr="002906D7" w:rsidRDefault="00E538B2" w:rsidP="00AA6C70">
      <w:pPr>
        <w:pStyle w:val="Heading2"/>
      </w:pPr>
      <w:r w:rsidRPr="002906D7">
        <w:t>Contact information</w:t>
      </w:r>
      <w:bookmarkEnd w:id="18"/>
      <w:bookmarkEnd w:id="19"/>
      <w:bookmarkEnd w:id="20"/>
      <w:bookmarkEnd w:id="21"/>
      <w:bookmarkEnd w:id="22"/>
    </w:p>
    <w:p w14:paraId="123EDF70" w14:textId="77777777" w:rsidR="0098428F" w:rsidRDefault="003D566D" w:rsidP="0098428F">
      <w:pPr>
        <w:widowControl/>
        <w:adjustRightInd w:val="0"/>
      </w:pPr>
      <w:r w:rsidRPr="00C20742">
        <w:t xml:space="preserve">Enquiries regarding this report may be directed to: </w:t>
      </w:r>
      <w:r w:rsidR="00E538B2">
        <w:br/>
      </w:r>
    </w:p>
    <w:p w14:paraId="57D3A79C" w14:textId="6A13BCCC" w:rsidR="0098428F" w:rsidRPr="0098428F" w:rsidRDefault="0098428F" w:rsidP="0098428F">
      <w:pPr>
        <w:widowControl/>
        <w:adjustRightInd w:val="0"/>
      </w:pPr>
      <w:r w:rsidRPr="0098428F">
        <w:t xml:space="preserve">Our Watch </w:t>
      </w:r>
    </w:p>
    <w:p w14:paraId="6DD1FD30" w14:textId="77777777" w:rsidR="0098428F" w:rsidRPr="0098428F" w:rsidRDefault="0098428F" w:rsidP="0098428F">
      <w:pPr>
        <w:widowControl/>
        <w:adjustRightInd w:val="0"/>
      </w:pPr>
      <w:r w:rsidRPr="0098428F">
        <w:t xml:space="preserve">enquiries@ourwatch.org.au </w:t>
      </w:r>
    </w:p>
    <w:p w14:paraId="2BEAFB65" w14:textId="77777777" w:rsidR="0098428F" w:rsidRPr="0098428F" w:rsidRDefault="0098428F" w:rsidP="0098428F">
      <w:pPr>
        <w:widowControl/>
        <w:adjustRightInd w:val="0"/>
      </w:pPr>
      <w:r w:rsidRPr="0098428F">
        <w:t>GPO Box 24229 Melbourne VIC 3001</w:t>
      </w:r>
    </w:p>
    <w:p w14:paraId="502FF149" w14:textId="77777777" w:rsidR="0036588C" w:rsidRPr="00C20742" w:rsidRDefault="0036588C" w:rsidP="00EC4288">
      <w:pPr>
        <w:pStyle w:val="RVbody"/>
        <w:rPr>
          <w:rFonts w:cs="Arial"/>
        </w:rPr>
      </w:pPr>
    </w:p>
    <w:p w14:paraId="5FEBEEF5" w14:textId="6B465D67" w:rsidR="00E11C57" w:rsidRPr="00E538B2" w:rsidRDefault="00400CFB" w:rsidP="00E11C57">
      <w:pPr>
        <w:pStyle w:val="BodyText1"/>
      </w:pPr>
      <w:r w:rsidRPr="00E538B2">
        <w:t xml:space="preserve">© </w:t>
      </w:r>
      <w:r w:rsidR="0036588C" w:rsidRPr="00E538B2">
        <w:t xml:space="preserve">Respect Victoria </w:t>
      </w:r>
      <w:r w:rsidRPr="00E538B2">
        <w:t>202</w:t>
      </w:r>
      <w:r w:rsidR="00230506">
        <w:t>2</w:t>
      </w:r>
      <w:r w:rsidR="00F73AB2" w:rsidRPr="00E538B2">
        <w:t xml:space="preserve">. </w:t>
      </w:r>
    </w:p>
    <w:p w14:paraId="576C0491" w14:textId="51DBD677" w:rsidR="00236736" w:rsidRPr="00E538B2" w:rsidRDefault="003D566D" w:rsidP="00E11C57">
      <w:pPr>
        <w:pStyle w:val="BodyText1"/>
      </w:pPr>
      <w:r w:rsidRPr="00E538B2">
        <w:t xml:space="preserve">This project was </w:t>
      </w:r>
      <w:r w:rsidR="0036588C" w:rsidRPr="00E538B2">
        <w:t>produced with funding from</w:t>
      </w:r>
      <w:r w:rsidRPr="00E538B2">
        <w:t xml:space="preserve"> Respect Victoria</w:t>
      </w:r>
      <w:r w:rsidR="0036588C" w:rsidRPr="00E538B2">
        <w:t xml:space="preserve">. </w:t>
      </w:r>
      <w:r w:rsidR="007F3792">
        <w:t>Our Watch</w:t>
      </w:r>
      <w:r w:rsidR="0036588C" w:rsidRPr="00E538B2">
        <w:t xml:space="preserve"> gratefully acknowledge</w:t>
      </w:r>
      <w:r w:rsidR="007F3792">
        <w:t>s</w:t>
      </w:r>
      <w:r w:rsidR="0036588C" w:rsidRPr="00E538B2">
        <w:t xml:space="preserve"> financial and other support it has received from Respect Victoria, without which</w:t>
      </w:r>
      <w:r w:rsidR="006830A3">
        <w:t>,</w:t>
      </w:r>
      <w:r w:rsidR="0036588C" w:rsidRPr="00E538B2">
        <w:t xml:space="preserve"> this work would not have been possible. The findings and views expressed in this report are those of the authors and cannot be attributed to Respect Victoria.</w:t>
      </w:r>
    </w:p>
    <w:p w14:paraId="606B774F" w14:textId="77777777" w:rsidR="00E538B2" w:rsidRDefault="00E538B2" w:rsidP="00AA6C70">
      <w:pPr>
        <w:sectPr w:rsidR="00E538B2" w:rsidSect="007E4EF0">
          <w:pgSz w:w="11900" w:h="16850"/>
          <w:pgMar w:top="1338" w:right="919" w:bottom="981" w:left="680" w:header="709" w:footer="709" w:gutter="0"/>
          <w:pgNumType w:fmt="lowerRoman" w:start="2"/>
          <w:cols w:num="2" w:space="720"/>
          <w:docGrid w:linePitch="326"/>
        </w:sectPr>
      </w:pPr>
    </w:p>
    <w:p w14:paraId="47F17FA0" w14:textId="544B1B84" w:rsidR="00AA6C70" w:rsidRPr="00AA6C70" w:rsidRDefault="00AA6C70" w:rsidP="00AA6C70">
      <w:pPr>
        <w:rPr>
          <w:rFonts w:eastAsia="Times"/>
          <w:sz w:val="20"/>
          <w:szCs w:val="20"/>
          <w:lang w:eastAsia="en-US" w:bidi="ar-SA"/>
        </w:rPr>
      </w:pPr>
      <w:r>
        <w:br w:type="page"/>
      </w:r>
    </w:p>
    <w:sdt>
      <w:sdtPr>
        <w:rPr>
          <w:rFonts w:eastAsia="Arial" w:cs="Arial"/>
          <w:b w:val="0"/>
          <w:color w:val="auto"/>
          <w:sz w:val="24"/>
          <w:szCs w:val="22"/>
          <w:lang w:val="en-AU" w:eastAsia="en-AU" w:bidi="en-AU"/>
        </w:rPr>
        <w:id w:val="823849486"/>
        <w:docPartObj>
          <w:docPartGallery w:val="Table of Contents"/>
          <w:docPartUnique/>
        </w:docPartObj>
      </w:sdtPr>
      <w:sdtEndPr>
        <w:rPr>
          <w:bCs/>
          <w:noProof/>
        </w:rPr>
      </w:sdtEndPr>
      <w:sdtContent>
        <w:p w14:paraId="50CC2242" w14:textId="51BE9CAB" w:rsidR="00CE6FDB" w:rsidRDefault="00CE6FDB">
          <w:pPr>
            <w:pStyle w:val="TOCHeading"/>
          </w:pPr>
          <w:r w:rsidRPr="00D06773">
            <w:t>Contents</w:t>
          </w:r>
        </w:p>
        <w:p w14:paraId="7153C709" w14:textId="111642B7" w:rsidR="007F50DB" w:rsidRDefault="00CE6FDB">
          <w:pPr>
            <w:pStyle w:val="TOC2"/>
            <w:tabs>
              <w:tab w:val="right" w:leader="dot" w:pos="10188"/>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87526299" w:history="1">
            <w:r w:rsidR="007F50DB" w:rsidRPr="000B5848">
              <w:rPr>
                <w:rStyle w:val="Hyperlink"/>
                <w:noProof/>
              </w:rPr>
              <w:t>Acknowledgements</w:t>
            </w:r>
            <w:r w:rsidR="007F50DB">
              <w:rPr>
                <w:noProof/>
                <w:webHidden/>
              </w:rPr>
              <w:tab/>
            </w:r>
            <w:r w:rsidR="007F50DB">
              <w:rPr>
                <w:noProof/>
                <w:webHidden/>
              </w:rPr>
              <w:fldChar w:fldCharType="begin"/>
            </w:r>
            <w:r w:rsidR="007F50DB">
              <w:rPr>
                <w:noProof/>
                <w:webHidden/>
              </w:rPr>
              <w:instrText xml:space="preserve"> PAGEREF _Toc87526299 \h </w:instrText>
            </w:r>
            <w:r w:rsidR="007F50DB">
              <w:rPr>
                <w:noProof/>
                <w:webHidden/>
              </w:rPr>
            </w:r>
            <w:r w:rsidR="007F50DB">
              <w:rPr>
                <w:noProof/>
                <w:webHidden/>
              </w:rPr>
              <w:fldChar w:fldCharType="separate"/>
            </w:r>
            <w:r w:rsidR="00A21379">
              <w:rPr>
                <w:noProof/>
                <w:webHidden/>
              </w:rPr>
              <w:t>ii</w:t>
            </w:r>
            <w:r w:rsidR="007F50DB">
              <w:rPr>
                <w:noProof/>
                <w:webHidden/>
              </w:rPr>
              <w:fldChar w:fldCharType="end"/>
            </w:r>
          </w:hyperlink>
        </w:p>
        <w:p w14:paraId="3607A299" w14:textId="04CC1B18"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00" w:history="1">
            <w:r w:rsidR="007F50DB" w:rsidRPr="000B5848">
              <w:rPr>
                <w:rStyle w:val="Hyperlink"/>
                <w:noProof/>
              </w:rPr>
              <w:t>Author</w:t>
            </w:r>
            <w:r w:rsidR="007F50DB">
              <w:rPr>
                <w:noProof/>
                <w:webHidden/>
              </w:rPr>
              <w:tab/>
            </w:r>
            <w:r w:rsidR="008D0E66" w:rsidRPr="008D0E66">
              <w:rPr>
                <w:noProof/>
                <w:webHidden/>
              </w:rPr>
              <w:tab/>
            </w:r>
            <w:r w:rsidR="007F50DB">
              <w:rPr>
                <w:noProof/>
                <w:webHidden/>
              </w:rPr>
              <w:fldChar w:fldCharType="begin"/>
            </w:r>
            <w:r w:rsidR="007F50DB">
              <w:rPr>
                <w:noProof/>
                <w:webHidden/>
              </w:rPr>
              <w:instrText xml:space="preserve"> PAGEREF _Toc87526300 \h </w:instrText>
            </w:r>
            <w:r w:rsidR="007F50DB">
              <w:rPr>
                <w:noProof/>
                <w:webHidden/>
              </w:rPr>
            </w:r>
            <w:r w:rsidR="007F50DB">
              <w:rPr>
                <w:noProof/>
                <w:webHidden/>
              </w:rPr>
              <w:fldChar w:fldCharType="separate"/>
            </w:r>
            <w:r w:rsidR="00A21379">
              <w:rPr>
                <w:noProof/>
                <w:webHidden/>
              </w:rPr>
              <w:t>ii</w:t>
            </w:r>
            <w:r w:rsidR="007F50DB">
              <w:rPr>
                <w:noProof/>
                <w:webHidden/>
              </w:rPr>
              <w:fldChar w:fldCharType="end"/>
            </w:r>
          </w:hyperlink>
        </w:p>
        <w:p w14:paraId="5DF5AB03" w14:textId="738C6970"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01" w:history="1">
            <w:r w:rsidR="007F50DB" w:rsidRPr="000B5848">
              <w:rPr>
                <w:rStyle w:val="Hyperlink"/>
                <w:noProof/>
              </w:rPr>
              <w:t>Suggested citation</w:t>
            </w:r>
            <w:r w:rsidR="007F50DB">
              <w:rPr>
                <w:noProof/>
                <w:webHidden/>
              </w:rPr>
              <w:tab/>
            </w:r>
            <w:r w:rsidR="007F50DB">
              <w:rPr>
                <w:noProof/>
                <w:webHidden/>
              </w:rPr>
              <w:fldChar w:fldCharType="begin"/>
            </w:r>
            <w:r w:rsidR="007F50DB">
              <w:rPr>
                <w:noProof/>
                <w:webHidden/>
              </w:rPr>
              <w:instrText xml:space="preserve"> PAGEREF _Toc87526301 \h </w:instrText>
            </w:r>
            <w:r w:rsidR="007F50DB">
              <w:rPr>
                <w:noProof/>
                <w:webHidden/>
              </w:rPr>
            </w:r>
            <w:r w:rsidR="007F50DB">
              <w:rPr>
                <w:noProof/>
                <w:webHidden/>
              </w:rPr>
              <w:fldChar w:fldCharType="separate"/>
            </w:r>
            <w:r w:rsidR="00A21379">
              <w:rPr>
                <w:noProof/>
                <w:webHidden/>
              </w:rPr>
              <w:t>ii</w:t>
            </w:r>
            <w:r w:rsidR="007F50DB">
              <w:rPr>
                <w:noProof/>
                <w:webHidden/>
              </w:rPr>
              <w:fldChar w:fldCharType="end"/>
            </w:r>
          </w:hyperlink>
        </w:p>
        <w:p w14:paraId="34AE6D5B" w14:textId="19492307"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02" w:history="1">
            <w:r w:rsidR="007F50DB" w:rsidRPr="000B5848">
              <w:rPr>
                <w:rStyle w:val="Hyperlink"/>
                <w:noProof/>
              </w:rPr>
              <w:t>Contact information</w:t>
            </w:r>
            <w:r w:rsidR="007F50DB">
              <w:rPr>
                <w:noProof/>
                <w:webHidden/>
              </w:rPr>
              <w:tab/>
            </w:r>
            <w:r w:rsidR="007F50DB">
              <w:rPr>
                <w:noProof/>
                <w:webHidden/>
              </w:rPr>
              <w:fldChar w:fldCharType="begin"/>
            </w:r>
            <w:r w:rsidR="007F50DB">
              <w:rPr>
                <w:noProof/>
                <w:webHidden/>
              </w:rPr>
              <w:instrText xml:space="preserve"> PAGEREF _Toc87526302 \h </w:instrText>
            </w:r>
            <w:r w:rsidR="007F50DB">
              <w:rPr>
                <w:noProof/>
                <w:webHidden/>
              </w:rPr>
            </w:r>
            <w:r w:rsidR="007F50DB">
              <w:rPr>
                <w:noProof/>
                <w:webHidden/>
              </w:rPr>
              <w:fldChar w:fldCharType="separate"/>
            </w:r>
            <w:r w:rsidR="00A21379">
              <w:rPr>
                <w:noProof/>
                <w:webHidden/>
              </w:rPr>
              <w:t>ii</w:t>
            </w:r>
            <w:r w:rsidR="007F50DB">
              <w:rPr>
                <w:noProof/>
                <w:webHidden/>
              </w:rPr>
              <w:fldChar w:fldCharType="end"/>
            </w:r>
          </w:hyperlink>
        </w:p>
        <w:p w14:paraId="22A5F8AD" w14:textId="71C9B5B9" w:rsidR="007F50DB" w:rsidRDefault="007F68BB">
          <w:pPr>
            <w:pStyle w:val="TOC1"/>
            <w:tabs>
              <w:tab w:val="right" w:leader="dot" w:pos="10188"/>
            </w:tabs>
            <w:rPr>
              <w:rFonts w:asciiTheme="minorHAnsi" w:eastAsiaTheme="minorEastAsia" w:hAnsiTheme="minorHAnsi" w:cstheme="minorBidi"/>
              <w:b w:val="0"/>
              <w:noProof/>
              <w:sz w:val="22"/>
              <w:szCs w:val="22"/>
              <w:lang w:bidi="ar-SA"/>
            </w:rPr>
          </w:pPr>
          <w:hyperlink w:anchor="_Toc87526303" w:history="1">
            <w:r w:rsidR="007F50DB" w:rsidRPr="000B5848">
              <w:rPr>
                <w:rStyle w:val="Hyperlink"/>
                <w:noProof/>
              </w:rPr>
              <w:t>Introduction &amp; Report Summary</w:t>
            </w:r>
            <w:r w:rsidR="007F50DB">
              <w:rPr>
                <w:noProof/>
                <w:webHidden/>
              </w:rPr>
              <w:tab/>
            </w:r>
            <w:r w:rsidR="007F50DB">
              <w:rPr>
                <w:noProof/>
                <w:webHidden/>
              </w:rPr>
              <w:fldChar w:fldCharType="begin"/>
            </w:r>
            <w:r w:rsidR="007F50DB">
              <w:rPr>
                <w:noProof/>
                <w:webHidden/>
              </w:rPr>
              <w:instrText xml:space="preserve"> PAGEREF _Toc87526303 \h </w:instrText>
            </w:r>
            <w:r w:rsidR="007F50DB">
              <w:rPr>
                <w:noProof/>
                <w:webHidden/>
              </w:rPr>
            </w:r>
            <w:r w:rsidR="007F50DB">
              <w:rPr>
                <w:noProof/>
                <w:webHidden/>
              </w:rPr>
              <w:fldChar w:fldCharType="separate"/>
            </w:r>
            <w:r w:rsidR="00A21379">
              <w:rPr>
                <w:noProof/>
                <w:webHidden/>
              </w:rPr>
              <w:t>1</w:t>
            </w:r>
            <w:r w:rsidR="007F50DB">
              <w:rPr>
                <w:noProof/>
                <w:webHidden/>
              </w:rPr>
              <w:fldChar w:fldCharType="end"/>
            </w:r>
          </w:hyperlink>
        </w:p>
        <w:p w14:paraId="5441DCAA" w14:textId="51D69A75"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04" w:history="1">
            <w:r w:rsidR="007F50DB" w:rsidRPr="000B5848">
              <w:rPr>
                <w:rStyle w:val="Hyperlink"/>
                <w:noProof/>
              </w:rPr>
              <w:t>Background</w:t>
            </w:r>
            <w:r w:rsidR="007F50DB">
              <w:rPr>
                <w:noProof/>
                <w:webHidden/>
              </w:rPr>
              <w:tab/>
            </w:r>
            <w:r w:rsidR="007F50DB">
              <w:rPr>
                <w:noProof/>
                <w:webHidden/>
              </w:rPr>
              <w:fldChar w:fldCharType="begin"/>
            </w:r>
            <w:r w:rsidR="007F50DB">
              <w:rPr>
                <w:noProof/>
                <w:webHidden/>
              </w:rPr>
              <w:instrText xml:space="preserve"> PAGEREF _Toc87526304 \h </w:instrText>
            </w:r>
            <w:r w:rsidR="007F50DB">
              <w:rPr>
                <w:noProof/>
                <w:webHidden/>
              </w:rPr>
            </w:r>
            <w:r w:rsidR="007F50DB">
              <w:rPr>
                <w:noProof/>
                <w:webHidden/>
              </w:rPr>
              <w:fldChar w:fldCharType="separate"/>
            </w:r>
            <w:r w:rsidR="00A21379">
              <w:rPr>
                <w:noProof/>
                <w:webHidden/>
              </w:rPr>
              <w:t>1</w:t>
            </w:r>
            <w:r w:rsidR="007F50DB">
              <w:rPr>
                <w:noProof/>
                <w:webHidden/>
              </w:rPr>
              <w:fldChar w:fldCharType="end"/>
            </w:r>
          </w:hyperlink>
        </w:p>
        <w:p w14:paraId="7DBB3B19" w14:textId="12A93A10" w:rsidR="007F50DB" w:rsidRDefault="007F68BB">
          <w:pPr>
            <w:pStyle w:val="TOC1"/>
            <w:tabs>
              <w:tab w:val="right" w:leader="dot" w:pos="10188"/>
            </w:tabs>
            <w:rPr>
              <w:rFonts w:asciiTheme="minorHAnsi" w:eastAsiaTheme="minorEastAsia" w:hAnsiTheme="minorHAnsi" w:cstheme="minorBidi"/>
              <w:b w:val="0"/>
              <w:noProof/>
              <w:sz w:val="22"/>
              <w:szCs w:val="22"/>
              <w:lang w:bidi="ar-SA"/>
            </w:rPr>
          </w:pPr>
          <w:hyperlink w:anchor="_Toc87526305" w:history="1">
            <w:r w:rsidR="007F50DB" w:rsidRPr="000B5848">
              <w:rPr>
                <w:rStyle w:val="Hyperlink"/>
                <w:noProof/>
              </w:rPr>
              <w:t>Part 1 - Resistance and backlash to primary prevention of violence against women</w:t>
            </w:r>
            <w:r w:rsidR="007F50DB">
              <w:rPr>
                <w:noProof/>
                <w:webHidden/>
              </w:rPr>
              <w:tab/>
            </w:r>
            <w:r w:rsidR="007F50DB">
              <w:rPr>
                <w:noProof/>
                <w:webHidden/>
              </w:rPr>
              <w:fldChar w:fldCharType="begin"/>
            </w:r>
            <w:r w:rsidR="007F50DB">
              <w:rPr>
                <w:noProof/>
                <w:webHidden/>
              </w:rPr>
              <w:instrText xml:space="preserve"> PAGEREF _Toc87526305 \h </w:instrText>
            </w:r>
            <w:r w:rsidR="007F50DB">
              <w:rPr>
                <w:noProof/>
                <w:webHidden/>
              </w:rPr>
            </w:r>
            <w:r w:rsidR="007F50DB">
              <w:rPr>
                <w:noProof/>
                <w:webHidden/>
              </w:rPr>
              <w:fldChar w:fldCharType="separate"/>
            </w:r>
            <w:r w:rsidR="00A21379">
              <w:rPr>
                <w:noProof/>
                <w:webHidden/>
              </w:rPr>
              <w:t>3</w:t>
            </w:r>
            <w:r w:rsidR="007F50DB">
              <w:rPr>
                <w:noProof/>
                <w:webHidden/>
              </w:rPr>
              <w:fldChar w:fldCharType="end"/>
            </w:r>
          </w:hyperlink>
        </w:p>
        <w:p w14:paraId="12D72A04" w14:textId="08C135A8"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06" w:history="1">
            <w:r w:rsidR="007F50DB" w:rsidRPr="000B5848">
              <w:rPr>
                <w:rStyle w:val="Hyperlink"/>
                <w:noProof/>
              </w:rPr>
              <w:t>Scope and methodology of the research</w:t>
            </w:r>
            <w:r w:rsidR="007F50DB">
              <w:rPr>
                <w:noProof/>
                <w:webHidden/>
              </w:rPr>
              <w:tab/>
            </w:r>
            <w:r w:rsidR="007F50DB">
              <w:rPr>
                <w:noProof/>
                <w:webHidden/>
              </w:rPr>
              <w:fldChar w:fldCharType="begin"/>
            </w:r>
            <w:r w:rsidR="007F50DB">
              <w:rPr>
                <w:noProof/>
                <w:webHidden/>
              </w:rPr>
              <w:instrText xml:space="preserve"> PAGEREF _Toc87526306 \h </w:instrText>
            </w:r>
            <w:r w:rsidR="007F50DB">
              <w:rPr>
                <w:noProof/>
                <w:webHidden/>
              </w:rPr>
            </w:r>
            <w:r w:rsidR="007F50DB">
              <w:rPr>
                <w:noProof/>
                <w:webHidden/>
              </w:rPr>
              <w:fldChar w:fldCharType="separate"/>
            </w:r>
            <w:r w:rsidR="00A21379">
              <w:rPr>
                <w:noProof/>
                <w:webHidden/>
              </w:rPr>
              <w:t>7</w:t>
            </w:r>
            <w:r w:rsidR="007F50DB">
              <w:rPr>
                <w:noProof/>
                <w:webHidden/>
              </w:rPr>
              <w:fldChar w:fldCharType="end"/>
            </w:r>
          </w:hyperlink>
        </w:p>
        <w:p w14:paraId="63739FB6" w14:textId="2438C973" w:rsidR="007F50DB" w:rsidRDefault="007F68BB">
          <w:pPr>
            <w:pStyle w:val="TOC1"/>
            <w:tabs>
              <w:tab w:val="right" w:leader="dot" w:pos="10188"/>
            </w:tabs>
            <w:rPr>
              <w:rFonts w:asciiTheme="minorHAnsi" w:eastAsiaTheme="minorEastAsia" w:hAnsiTheme="minorHAnsi" w:cstheme="minorBidi"/>
              <w:b w:val="0"/>
              <w:noProof/>
              <w:sz w:val="22"/>
              <w:szCs w:val="22"/>
              <w:lang w:bidi="ar-SA"/>
            </w:rPr>
          </w:pPr>
          <w:hyperlink w:anchor="_Toc87526307" w:history="1">
            <w:r w:rsidR="007F50DB" w:rsidRPr="000B5848">
              <w:rPr>
                <w:rStyle w:val="Hyperlink"/>
                <w:noProof/>
              </w:rPr>
              <w:t>Part 2 - Understanding resistance and backlash</w:t>
            </w:r>
            <w:r w:rsidR="007F50DB">
              <w:rPr>
                <w:noProof/>
                <w:webHidden/>
              </w:rPr>
              <w:tab/>
            </w:r>
            <w:r w:rsidR="007F50DB">
              <w:rPr>
                <w:noProof/>
                <w:webHidden/>
              </w:rPr>
              <w:fldChar w:fldCharType="begin"/>
            </w:r>
            <w:r w:rsidR="007F50DB">
              <w:rPr>
                <w:noProof/>
                <w:webHidden/>
              </w:rPr>
              <w:instrText xml:space="preserve"> PAGEREF _Toc87526307 \h </w:instrText>
            </w:r>
            <w:r w:rsidR="007F50DB">
              <w:rPr>
                <w:noProof/>
                <w:webHidden/>
              </w:rPr>
            </w:r>
            <w:r w:rsidR="007F50DB">
              <w:rPr>
                <w:noProof/>
                <w:webHidden/>
              </w:rPr>
              <w:fldChar w:fldCharType="separate"/>
            </w:r>
            <w:r w:rsidR="00A21379">
              <w:rPr>
                <w:noProof/>
                <w:webHidden/>
              </w:rPr>
              <w:t>11</w:t>
            </w:r>
            <w:r w:rsidR="007F50DB">
              <w:rPr>
                <w:noProof/>
                <w:webHidden/>
              </w:rPr>
              <w:fldChar w:fldCharType="end"/>
            </w:r>
          </w:hyperlink>
        </w:p>
        <w:p w14:paraId="65C2F529" w14:textId="3A8DB1BC"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08" w:history="1">
            <w:r w:rsidR="007F50DB" w:rsidRPr="000B5848">
              <w:rPr>
                <w:rStyle w:val="Hyperlink"/>
                <w:noProof/>
              </w:rPr>
              <w:t>Masculinities, male privilege and resistance and backlash</w:t>
            </w:r>
            <w:r w:rsidR="007F50DB">
              <w:rPr>
                <w:noProof/>
                <w:webHidden/>
              </w:rPr>
              <w:tab/>
            </w:r>
            <w:r w:rsidR="007F50DB">
              <w:rPr>
                <w:noProof/>
                <w:webHidden/>
              </w:rPr>
              <w:fldChar w:fldCharType="begin"/>
            </w:r>
            <w:r w:rsidR="007F50DB">
              <w:rPr>
                <w:noProof/>
                <w:webHidden/>
              </w:rPr>
              <w:instrText xml:space="preserve"> PAGEREF _Toc87526308 \h </w:instrText>
            </w:r>
            <w:r w:rsidR="007F50DB">
              <w:rPr>
                <w:noProof/>
                <w:webHidden/>
              </w:rPr>
            </w:r>
            <w:r w:rsidR="007F50DB">
              <w:rPr>
                <w:noProof/>
                <w:webHidden/>
              </w:rPr>
              <w:fldChar w:fldCharType="separate"/>
            </w:r>
            <w:r w:rsidR="00A21379">
              <w:rPr>
                <w:noProof/>
                <w:webHidden/>
              </w:rPr>
              <w:t>12</w:t>
            </w:r>
            <w:r w:rsidR="007F50DB">
              <w:rPr>
                <w:noProof/>
                <w:webHidden/>
              </w:rPr>
              <w:fldChar w:fldCharType="end"/>
            </w:r>
          </w:hyperlink>
        </w:p>
        <w:p w14:paraId="03442341" w14:textId="320F8B4E"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09" w:history="1">
            <w:r w:rsidR="007F50DB" w:rsidRPr="000B5848">
              <w:rPr>
                <w:rStyle w:val="Hyperlink"/>
                <w:noProof/>
              </w:rPr>
              <w:t>Gendered institutions and organisations</w:t>
            </w:r>
            <w:r w:rsidR="007F50DB">
              <w:rPr>
                <w:noProof/>
                <w:webHidden/>
              </w:rPr>
              <w:tab/>
            </w:r>
            <w:r w:rsidR="007F50DB">
              <w:rPr>
                <w:noProof/>
                <w:webHidden/>
              </w:rPr>
              <w:fldChar w:fldCharType="begin"/>
            </w:r>
            <w:r w:rsidR="007F50DB">
              <w:rPr>
                <w:noProof/>
                <w:webHidden/>
              </w:rPr>
              <w:instrText xml:space="preserve"> PAGEREF _Toc87526309 \h </w:instrText>
            </w:r>
            <w:r w:rsidR="007F50DB">
              <w:rPr>
                <w:noProof/>
                <w:webHidden/>
              </w:rPr>
            </w:r>
            <w:r w:rsidR="007F50DB">
              <w:rPr>
                <w:noProof/>
                <w:webHidden/>
              </w:rPr>
              <w:fldChar w:fldCharType="separate"/>
            </w:r>
            <w:r w:rsidR="00A21379">
              <w:rPr>
                <w:noProof/>
                <w:webHidden/>
              </w:rPr>
              <w:t>18</w:t>
            </w:r>
            <w:r w:rsidR="007F50DB">
              <w:rPr>
                <w:noProof/>
                <w:webHidden/>
              </w:rPr>
              <w:fldChar w:fldCharType="end"/>
            </w:r>
          </w:hyperlink>
        </w:p>
        <w:p w14:paraId="680923AB" w14:textId="119AF410"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10" w:history="1">
            <w:r w:rsidR="007F50DB" w:rsidRPr="000B5848">
              <w:rPr>
                <w:rStyle w:val="Hyperlink"/>
                <w:noProof/>
              </w:rPr>
              <w:t>Institutional and organisational resistance</w:t>
            </w:r>
            <w:r w:rsidR="007F50DB">
              <w:rPr>
                <w:noProof/>
                <w:webHidden/>
              </w:rPr>
              <w:tab/>
            </w:r>
            <w:r w:rsidR="007F50DB">
              <w:rPr>
                <w:noProof/>
                <w:webHidden/>
              </w:rPr>
              <w:fldChar w:fldCharType="begin"/>
            </w:r>
            <w:r w:rsidR="007F50DB">
              <w:rPr>
                <w:noProof/>
                <w:webHidden/>
              </w:rPr>
              <w:instrText xml:space="preserve"> PAGEREF _Toc87526310 \h </w:instrText>
            </w:r>
            <w:r w:rsidR="007F50DB">
              <w:rPr>
                <w:noProof/>
                <w:webHidden/>
              </w:rPr>
            </w:r>
            <w:r w:rsidR="007F50DB">
              <w:rPr>
                <w:noProof/>
                <w:webHidden/>
              </w:rPr>
              <w:fldChar w:fldCharType="separate"/>
            </w:r>
            <w:r w:rsidR="00A21379">
              <w:rPr>
                <w:noProof/>
                <w:webHidden/>
              </w:rPr>
              <w:t>19</w:t>
            </w:r>
            <w:r w:rsidR="007F50DB">
              <w:rPr>
                <w:noProof/>
                <w:webHidden/>
              </w:rPr>
              <w:fldChar w:fldCharType="end"/>
            </w:r>
          </w:hyperlink>
        </w:p>
        <w:p w14:paraId="41AA33A9" w14:textId="70C460D0" w:rsidR="007F50DB" w:rsidRDefault="007F68BB">
          <w:pPr>
            <w:pStyle w:val="TOC1"/>
            <w:tabs>
              <w:tab w:val="right" w:leader="dot" w:pos="10188"/>
            </w:tabs>
            <w:rPr>
              <w:rFonts w:asciiTheme="minorHAnsi" w:eastAsiaTheme="minorEastAsia" w:hAnsiTheme="minorHAnsi" w:cstheme="minorBidi"/>
              <w:b w:val="0"/>
              <w:noProof/>
              <w:sz w:val="22"/>
              <w:szCs w:val="22"/>
              <w:lang w:bidi="ar-SA"/>
            </w:rPr>
          </w:pPr>
          <w:hyperlink w:anchor="_Toc87526311" w:history="1">
            <w:r w:rsidR="007F50DB" w:rsidRPr="000B5848">
              <w:rPr>
                <w:rStyle w:val="Hyperlink"/>
                <w:noProof/>
              </w:rPr>
              <w:t>Part 3 - Forms of resistance and backlash</w:t>
            </w:r>
            <w:r w:rsidR="007F50DB">
              <w:rPr>
                <w:noProof/>
                <w:webHidden/>
              </w:rPr>
              <w:tab/>
            </w:r>
            <w:r w:rsidR="007F50DB">
              <w:rPr>
                <w:noProof/>
                <w:webHidden/>
              </w:rPr>
              <w:fldChar w:fldCharType="begin"/>
            </w:r>
            <w:r w:rsidR="007F50DB">
              <w:rPr>
                <w:noProof/>
                <w:webHidden/>
              </w:rPr>
              <w:instrText xml:space="preserve"> PAGEREF _Toc87526311 \h </w:instrText>
            </w:r>
            <w:r w:rsidR="007F50DB">
              <w:rPr>
                <w:noProof/>
                <w:webHidden/>
              </w:rPr>
            </w:r>
            <w:r w:rsidR="007F50DB">
              <w:rPr>
                <w:noProof/>
                <w:webHidden/>
              </w:rPr>
              <w:fldChar w:fldCharType="separate"/>
            </w:r>
            <w:r w:rsidR="00A21379">
              <w:rPr>
                <w:noProof/>
                <w:webHidden/>
              </w:rPr>
              <w:t>24</w:t>
            </w:r>
            <w:r w:rsidR="007F50DB">
              <w:rPr>
                <w:noProof/>
                <w:webHidden/>
              </w:rPr>
              <w:fldChar w:fldCharType="end"/>
            </w:r>
          </w:hyperlink>
        </w:p>
        <w:p w14:paraId="398CB163" w14:textId="2BB8D1BC"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12" w:history="1">
            <w:r w:rsidR="007F50DB" w:rsidRPr="000B5848">
              <w:rPr>
                <w:rStyle w:val="Hyperlink"/>
                <w:noProof/>
              </w:rPr>
              <w:t>Denial</w:t>
            </w:r>
            <w:r w:rsidR="008D0E66" w:rsidRPr="008D0E66">
              <w:rPr>
                <w:rStyle w:val="Hyperlink"/>
                <w:noProof/>
                <w:webHidden/>
              </w:rPr>
              <w:tab/>
            </w:r>
            <w:r w:rsidR="007F50DB">
              <w:rPr>
                <w:noProof/>
                <w:webHidden/>
              </w:rPr>
              <w:tab/>
            </w:r>
            <w:r w:rsidR="007F50DB">
              <w:rPr>
                <w:noProof/>
                <w:webHidden/>
              </w:rPr>
              <w:fldChar w:fldCharType="begin"/>
            </w:r>
            <w:r w:rsidR="007F50DB">
              <w:rPr>
                <w:noProof/>
                <w:webHidden/>
              </w:rPr>
              <w:instrText xml:space="preserve"> PAGEREF _Toc87526312 \h </w:instrText>
            </w:r>
            <w:r w:rsidR="007F50DB">
              <w:rPr>
                <w:noProof/>
                <w:webHidden/>
              </w:rPr>
            </w:r>
            <w:r w:rsidR="007F50DB">
              <w:rPr>
                <w:noProof/>
                <w:webHidden/>
              </w:rPr>
              <w:fldChar w:fldCharType="separate"/>
            </w:r>
            <w:r w:rsidR="00A21379">
              <w:rPr>
                <w:noProof/>
                <w:webHidden/>
              </w:rPr>
              <w:t>25</w:t>
            </w:r>
            <w:r w:rsidR="007F50DB">
              <w:rPr>
                <w:noProof/>
                <w:webHidden/>
              </w:rPr>
              <w:fldChar w:fldCharType="end"/>
            </w:r>
          </w:hyperlink>
        </w:p>
        <w:p w14:paraId="657DF862" w14:textId="4315D09B"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13" w:history="1">
            <w:r w:rsidR="007F50DB" w:rsidRPr="000B5848">
              <w:rPr>
                <w:rStyle w:val="Hyperlink"/>
                <w:noProof/>
              </w:rPr>
              <w:t>Disavowal</w:t>
            </w:r>
            <w:r w:rsidR="007F50DB">
              <w:rPr>
                <w:noProof/>
                <w:webHidden/>
              </w:rPr>
              <w:tab/>
            </w:r>
            <w:r w:rsidR="007F50DB">
              <w:rPr>
                <w:noProof/>
                <w:webHidden/>
              </w:rPr>
              <w:fldChar w:fldCharType="begin"/>
            </w:r>
            <w:r w:rsidR="007F50DB">
              <w:rPr>
                <w:noProof/>
                <w:webHidden/>
              </w:rPr>
              <w:instrText xml:space="preserve"> PAGEREF _Toc87526313 \h </w:instrText>
            </w:r>
            <w:r w:rsidR="007F50DB">
              <w:rPr>
                <w:noProof/>
                <w:webHidden/>
              </w:rPr>
            </w:r>
            <w:r w:rsidR="007F50DB">
              <w:rPr>
                <w:noProof/>
                <w:webHidden/>
              </w:rPr>
              <w:fldChar w:fldCharType="separate"/>
            </w:r>
            <w:r w:rsidR="00A21379">
              <w:rPr>
                <w:noProof/>
                <w:webHidden/>
              </w:rPr>
              <w:t>29</w:t>
            </w:r>
            <w:r w:rsidR="007F50DB">
              <w:rPr>
                <w:noProof/>
                <w:webHidden/>
              </w:rPr>
              <w:fldChar w:fldCharType="end"/>
            </w:r>
          </w:hyperlink>
        </w:p>
        <w:p w14:paraId="2CAEA424" w14:textId="487A1B9D"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14" w:history="1">
            <w:r w:rsidR="007F50DB" w:rsidRPr="000B5848">
              <w:rPr>
                <w:rStyle w:val="Hyperlink"/>
                <w:noProof/>
              </w:rPr>
              <w:t>Inaction</w:t>
            </w:r>
            <w:r w:rsidR="008D0E66" w:rsidRPr="008D0E66">
              <w:rPr>
                <w:rStyle w:val="Hyperlink"/>
                <w:noProof/>
                <w:webHidden/>
              </w:rPr>
              <w:tab/>
            </w:r>
            <w:r w:rsidR="007F50DB">
              <w:rPr>
                <w:noProof/>
                <w:webHidden/>
              </w:rPr>
              <w:tab/>
            </w:r>
            <w:r w:rsidR="007F50DB">
              <w:rPr>
                <w:noProof/>
                <w:webHidden/>
              </w:rPr>
              <w:fldChar w:fldCharType="begin"/>
            </w:r>
            <w:r w:rsidR="007F50DB">
              <w:rPr>
                <w:noProof/>
                <w:webHidden/>
              </w:rPr>
              <w:instrText xml:space="preserve"> PAGEREF _Toc87526314 \h </w:instrText>
            </w:r>
            <w:r w:rsidR="007F50DB">
              <w:rPr>
                <w:noProof/>
                <w:webHidden/>
              </w:rPr>
            </w:r>
            <w:r w:rsidR="007F50DB">
              <w:rPr>
                <w:noProof/>
                <w:webHidden/>
              </w:rPr>
              <w:fldChar w:fldCharType="separate"/>
            </w:r>
            <w:r w:rsidR="00A21379">
              <w:rPr>
                <w:noProof/>
                <w:webHidden/>
              </w:rPr>
              <w:t>34</w:t>
            </w:r>
            <w:r w:rsidR="007F50DB">
              <w:rPr>
                <w:noProof/>
                <w:webHidden/>
              </w:rPr>
              <w:fldChar w:fldCharType="end"/>
            </w:r>
          </w:hyperlink>
        </w:p>
        <w:p w14:paraId="42DBB911" w14:textId="12E619DB"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15" w:history="1">
            <w:r w:rsidR="007F50DB" w:rsidRPr="000B5848">
              <w:rPr>
                <w:rStyle w:val="Hyperlink"/>
                <w:noProof/>
              </w:rPr>
              <w:t>Appeasement</w:t>
            </w:r>
            <w:r w:rsidR="007F50DB">
              <w:rPr>
                <w:noProof/>
                <w:webHidden/>
              </w:rPr>
              <w:tab/>
            </w:r>
            <w:r w:rsidR="007F50DB">
              <w:rPr>
                <w:noProof/>
                <w:webHidden/>
              </w:rPr>
              <w:fldChar w:fldCharType="begin"/>
            </w:r>
            <w:r w:rsidR="007F50DB">
              <w:rPr>
                <w:noProof/>
                <w:webHidden/>
              </w:rPr>
              <w:instrText xml:space="preserve"> PAGEREF _Toc87526315 \h </w:instrText>
            </w:r>
            <w:r w:rsidR="007F50DB">
              <w:rPr>
                <w:noProof/>
                <w:webHidden/>
              </w:rPr>
            </w:r>
            <w:r w:rsidR="007F50DB">
              <w:rPr>
                <w:noProof/>
                <w:webHidden/>
              </w:rPr>
              <w:fldChar w:fldCharType="separate"/>
            </w:r>
            <w:r w:rsidR="00A21379">
              <w:rPr>
                <w:noProof/>
                <w:webHidden/>
              </w:rPr>
              <w:t>35</w:t>
            </w:r>
            <w:r w:rsidR="007F50DB">
              <w:rPr>
                <w:noProof/>
                <w:webHidden/>
              </w:rPr>
              <w:fldChar w:fldCharType="end"/>
            </w:r>
          </w:hyperlink>
        </w:p>
        <w:p w14:paraId="02579FAA" w14:textId="1DBB772E"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16" w:history="1">
            <w:r w:rsidR="007F50DB" w:rsidRPr="000B5848">
              <w:rPr>
                <w:rStyle w:val="Hyperlink"/>
                <w:noProof/>
              </w:rPr>
              <w:t>Appropriation</w:t>
            </w:r>
            <w:r w:rsidR="007F50DB">
              <w:rPr>
                <w:noProof/>
                <w:webHidden/>
              </w:rPr>
              <w:tab/>
            </w:r>
            <w:r w:rsidR="007F50DB">
              <w:rPr>
                <w:noProof/>
                <w:webHidden/>
              </w:rPr>
              <w:fldChar w:fldCharType="begin"/>
            </w:r>
            <w:r w:rsidR="007F50DB">
              <w:rPr>
                <w:noProof/>
                <w:webHidden/>
              </w:rPr>
              <w:instrText xml:space="preserve"> PAGEREF _Toc87526316 \h </w:instrText>
            </w:r>
            <w:r w:rsidR="007F50DB">
              <w:rPr>
                <w:noProof/>
                <w:webHidden/>
              </w:rPr>
            </w:r>
            <w:r w:rsidR="007F50DB">
              <w:rPr>
                <w:noProof/>
                <w:webHidden/>
              </w:rPr>
              <w:fldChar w:fldCharType="separate"/>
            </w:r>
            <w:r w:rsidR="00A21379">
              <w:rPr>
                <w:noProof/>
                <w:webHidden/>
              </w:rPr>
              <w:t>37</w:t>
            </w:r>
            <w:r w:rsidR="007F50DB">
              <w:rPr>
                <w:noProof/>
                <w:webHidden/>
              </w:rPr>
              <w:fldChar w:fldCharType="end"/>
            </w:r>
          </w:hyperlink>
        </w:p>
        <w:p w14:paraId="7694F21B" w14:textId="655FC0FB"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17" w:history="1">
            <w:r w:rsidR="007F50DB" w:rsidRPr="000B5848">
              <w:rPr>
                <w:rStyle w:val="Hyperlink"/>
                <w:noProof/>
              </w:rPr>
              <w:t>Co-option</w:t>
            </w:r>
            <w:r w:rsidR="007F50DB">
              <w:rPr>
                <w:noProof/>
                <w:webHidden/>
              </w:rPr>
              <w:tab/>
            </w:r>
            <w:r w:rsidR="007F50DB">
              <w:rPr>
                <w:noProof/>
                <w:webHidden/>
              </w:rPr>
              <w:fldChar w:fldCharType="begin"/>
            </w:r>
            <w:r w:rsidR="007F50DB">
              <w:rPr>
                <w:noProof/>
                <w:webHidden/>
              </w:rPr>
              <w:instrText xml:space="preserve"> PAGEREF _Toc87526317 \h </w:instrText>
            </w:r>
            <w:r w:rsidR="007F50DB">
              <w:rPr>
                <w:noProof/>
                <w:webHidden/>
              </w:rPr>
            </w:r>
            <w:r w:rsidR="007F50DB">
              <w:rPr>
                <w:noProof/>
                <w:webHidden/>
              </w:rPr>
              <w:fldChar w:fldCharType="separate"/>
            </w:r>
            <w:r w:rsidR="00A21379">
              <w:rPr>
                <w:noProof/>
                <w:webHidden/>
              </w:rPr>
              <w:t>38</w:t>
            </w:r>
            <w:r w:rsidR="007F50DB">
              <w:rPr>
                <w:noProof/>
                <w:webHidden/>
              </w:rPr>
              <w:fldChar w:fldCharType="end"/>
            </w:r>
          </w:hyperlink>
        </w:p>
        <w:p w14:paraId="4B18DC3D" w14:textId="07BD7C05"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18" w:history="1">
            <w:r w:rsidR="007F50DB" w:rsidRPr="000B5848">
              <w:rPr>
                <w:rStyle w:val="Hyperlink"/>
                <w:noProof/>
              </w:rPr>
              <w:t>Repression</w:t>
            </w:r>
            <w:r w:rsidR="007F50DB">
              <w:rPr>
                <w:noProof/>
                <w:webHidden/>
              </w:rPr>
              <w:tab/>
            </w:r>
            <w:r w:rsidR="007F50DB">
              <w:rPr>
                <w:noProof/>
                <w:webHidden/>
              </w:rPr>
              <w:fldChar w:fldCharType="begin"/>
            </w:r>
            <w:r w:rsidR="007F50DB">
              <w:rPr>
                <w:noProof/>
                <w:webHidden/>
              </w:rPr>
              <w:instrText xml:space="preserve"> PAGEREF _Toc87526318 \h </w:instrText>
            </w:r>
            <w:r w:rsidR="007F50DB">
              <w:rPr>
                <w:noProof/>
                <w:webHidden/>
              </w:rPr>
            </w:r>
            <w:r w:rsidR="007F50DB">
              <w:rPr>
                <w:noProof/>
                <w:webHidden/>
              </w:rPr>
              <w:fldChar w:fldCharType="separate"/>
            </w:r>
            <w:r w:rsidR="00A21379">
              <w:rPr>
                <w:noProof/>
                <w:webHidden/>
              </w:rPr>
              <w:t>41</w:t>
            </w:r>
            <w:r w:rsidR="007F50DB">
              <w:rPr>
                <w:noProof/>
                <w:webHidden/>
              </w:rPr>
              <w:fldChar w:fldCharType="end"/>
            </w:r>
          </w:hyperlink>
        </w:p>
        <w:p w14:paraId="13C5E641" w14:textId="6CE8D4B0"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19" w:history="1">
            <w:r w:rsidR="007F50DB" w:rsidRPr="000B5848">
              <w:rPr>
                <w:rStyle w:val="Hyperlink"/>
                <w:noProof/>
              </w:rPr>
              <w:t>Backlash</w:t>
            </w:r>
            <w:r w:rsidR="007F50DB">
              <w:rPr>
                <w:noProof/>
                <w:webHidden/>
              </w:rPr>
              <w:tab/>
            </w:r>
            <w:r w:rsidR="007F50DB">
              <w:rPr>
                <w:noProof/>
                <w:webHidden/>
              </w:rPr>
              <w:fldChar w:fldCharType="begin"/>
            </w:r>
            <w:r w:rsidR="007F50DB">
              <w:rPr>
                <w:noProof/>
                <w:webHidden/>
              </w:rPr>
              <w:instrText xml:space="preserve"> PAGEREF _Toc87526319 \h </w:instrText>
            </w:r>
            <w:r w:rsidR="007F50DB">
              <w:rPr>
                <w:noProof/>
                <w:webHidden/>
              </w:rPr>
            </w:r>
            <w:r w:rsidR="007F50DB">
              <w:rPr>
                <w:noProof/>
                <w:webHidden/>
              </w:rPr>
              <w:fldChar w:fldCharType="separate"/>
            </w:r>
            <w:r w:rsidR="00A21379">
              <w:rPr>
                <w:noProof/>
                <w:webHidden/>
              </w:rPr>
              <w:t>42</w:t>
            </w:r>
            <w:r w:rsidR="007F50DB">
              <w:rPr>
                <w:noProof/>
                <w:webHidden/>
              </w:rPr>
              <w:fldChar w:fldCharType="end"/>
            </w:r>
          </w:hyperlink>
        </w:p>
        <w:p w14:paraId="2A1F1A24" w14:textId="62491DF7"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20" w:history="1">
            <w:r w:rsidR="007F50DB" w:rsidRPr="000B5848">
              <w:rPr>
                <w:rStyle w:val="Hyperlink"/>
                <w:noProof/>
              </w:rPr>
              <w:t>Conclusion</w:t>
            </w:r>
            <w:r w:rsidR="007F50DB">
              <w:rPr>
                <w:noProof/>
                <w:webHidden/>
              </w:rPr>
              <w:tab/>
            </w:r>
            <w:r w:rsidR="007F50DB">
              <w:rPr>
                <w:noProof/>
                <w:webHidden/>
              </w:rPr>
              <w:fldChar w:fldCharType="begin"/>
            </w:r>
            <w:r w:rsidR="007F50DB">
              <w:rPr>
                <w:noProof/>
                <w:webHidden/>
              </w:rPr>
              <w:instrText xml:space="preserve"> PAGEREF _Toc87526320 \h </w:instrText>
            </w:r>
            <w:r w:rsidR="007F50DB">
              <w:rPr>
                <w:noProof/>
                <w:webHidden/>
              </w:rPr>
            </w:r>
            <w:r w:rsidR="007F50DB">
              <w:rPr>
                <w:noProof/>
                <w:webHidden/>
              </w:rPr>
              <w:fldChar w:fldCharType="separate"/>
            </w:r>
            <w:r w:rsidR="00A21379">
              <w:rPr>
                <w:noProof/>
                <w:webHidden/>
              </w:rPr>
              <w:t>48</w:t>
            </w:r>
            <w:r w:rsidR="007F50DB">
              <w:rPr>
                <w:noProof/>
                <w:webHidden/>
              </w:rPr>
              <w:fldChar w:fldCharType="end"/>
            </w:r>
          </w:hyperlink>
        </w:p>
        <w:p w14:paraId="063A9858" w14:textId="2C435C30" w:rsidR="007F50DB" w:rsidRDefault="007F68BB">
          <w:pPr>
            <w:pStyle w:val="TOC1"/>
            <w:tabs>
              <w:tab w:val="right" w:leader="dot" w:pos="10188"/>
            </w:tabs>
            <w:rPr>
              <w:rFonts w:asciiTheme="minorHAnsi" w:eastAsiaTheme="minorEastAsia" w:hAnsiTheme="minorHAnsi" w:cstheme="minorBidi"/>
              <w:b w:val="0"/>
              <w:noProof/>
              <w:sz w:val="22"/>
              <w:szCs w:val="22"/>
              <w:lang w:bidi="ar-SA"/>
            </w:rPr>
          </w:pPr>
          <w:hyperlink w:anchor="_Toc87526321" w:history="1">
            <w:r w:rsidR="007F50DB" w:rsidRPr="000B5848">
              <w:rPr>
                <w:rStyle w:val="Hyperlink"/>
                <w:noProof/>
              </w:rPr>
              <w:t>Part 4 - Monitoring resistance and backlash</w:t>
            </w:r>
            <w:r w:rsidR="007F50DB">
              <w:rPr>
                <w:noProof/>
                <w:webHidden/>
              </w:rPr>
              <w:tab/>
            </w:r>
            <w:r w:rsidR="007F50DB">
              <w:rPr>
                <w:noProof/>
                <w:webHidden/>
              </w:rPr>
              <w:fldChar w:fldCharType="begin"/>
            </w:r>
            <w:r w:rsidR="007F50DB">
              <w:rPr>
                <w:noProof/>
                <w:webHidden/>
              </w:rPr>
              <w:instrText xml:space="preserve"> PAGEREF _Toc87526321 \h </w:instrText>
            </w:r>
            <w:r w:rsidR="007F50DB">
              <w:rPr>
                <w:noProof/>
                <w:webHidden/>
              </w:rPr>
            </w:r>
            <w:r w:rsidR="007F50DB">
              <w:rPr>
                <w:noProof/>
                <w:webHidden/>
              </w:rPr>
              <w:fldChar w:fldCharType="separate"/>
            </w:r>
            <w:r w:rsidR="00A21379">
              <w:rPr>
                <w:noProof/>
                <w:webHidden/>
              </w:rPr>
              <w:t>49</w:t>
            </w:r>
            <w:r w:rsidR="007F50DB">
              <w:rPr>
                <w:noProof/>
                <w:webHidden/>
              </w:rPr>
              <w:fldChar w:fldCharType="end"/>
            </w:r>
          </w:hyperlink>
        </w:p>
        <w:p w14:paraId="10F32377" w14:textId="0661438D"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22" w:history="1">
            <w:r w:rsidR="007F50DB" w:rsidRPr="000B5848">
              <w:rPr>
                <w:rStyle w:val="Hyperlink"/>
                <w:noProof/>
              </w:rPr>
              <w:t>A Spectrum of Change</w:t>
            </w:r>
            <w:r w:rsidR="007F50DB">
              <w:rPr>
                <w:noProof/>
                <w:webHidden/>
              </w:rPr>
              <w:tab/>
            </w:r>
            <w:r w:rsidR="007F50DB">
              <w:rPr>
                <w:noProof/>
                <w:webHidden/>
              </w:rPr>
              <w:fldChar w:fldCharType="begin"/>
            </w:r>
            <w:r w:rsidR="007F50DB">
              <w:rPr>
                <w:noProof/>
                <w:webHidden/>
              </w:rPr>
              <w:instrText xml:space="preserve"> PAGEREF _Toc87526322 \h </w:instrText>
            </w:r>
            <w:r w:rsidR="007F50DB">
              <w:rPr>
                <w:noProof/>
                <w:webHidden/>
              </w:rPr>
            </w:r>
            <w:r w:rsidR="007F50DB">
              <w:rPr>
                <w:noProof/>
                <w:webHidden/>
              </w:rPr>
              <w:fldChar w:fldCharType="separate"/>
            </w:r>
            <w:r w:rsidR="00A21379">
              <w:rPr>
                <w:noProof/>
                <w:webHidden/>
              </w:rPr>
              <w:t>50</w:t>
            </w:r>
            <w:r w:rsidR="007F50DB">
              <w:rPr>
                <w:noProof/>
                <w:webHidden/>
              </w:rPr>
              <w:fldChar w:fldCharType="end"/>
            </w:r>
          </w:hyperlink>
        </w:p>
        <w:p w14:paraId="5AA4483F" w14:textId="4C2847E5"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23" w:history="1">
            <w:r w:rsidR="007F50DB" w:rsidRPr="000B5848">
              <w:rPr>
                <w:rStyle w:val="Hyperlink"/>
                <w:noProof/>
              </w:rPr>
              <w:t>Monitoring resistance &amp; backlash</w:t>
            </w:r>
            <w:r w:rsidR="007F50DB">
              <w:rPr>
                <w:noProof/>
                <w:webHidden/>
              </w:rPr>
              <w:tab/>
            </w:r>
            <w:r w:rsidR="007F50DB">
              <w:rPr>
                <w:noProof/>
                <w:webHidden/>
              </w:rPr>
              <w:fldChar w:fldCharType="begin"/>
            </w:r>
            <w:r w:rsidR="007F50DB">
              <w:rPr>
                <w:noProof/>
                <w:webHidden/>
              </w:rPr>
              <w:instrText xml:space="preserve"> PAGEREF _Toc87526323 \h </w:instrText>
            </w:r>
            <w:r w:rsidR="007F50DB">
              <w:rPr>
                <w:noProof/>
                <w:webHidden/>
              </w:rPr>
            </w:r>
            <w:r w:rsidR="007F50DB">
              <w:rPr>
                <w:noProof/>
                <w:webHidden/>
              </w:rPr>
              <w:fldChar w:fldCharType="separate"/>
            </w:r>
            <w:r w:rsidR="00A21379">
              <w:rPr>
                <w:noProof/>
                <w:webHidden/>
              </w:rPr>
              <w:t>52</w:t>
            </w:r>
            <w:r w:rsidR="007F50DB">
              <w:rPr>
                <w:noProof/>
                <w:webHidden/>
              </w:rPr>
              <w:fldChar w:fldCharType="end"/>
            </w:r>
          </w:hyperlink>
        </w:p>
        <w:p w14:paraId="6B7485AE" w14:textId="7BFF49B0"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24" w:history="1">
            <w:r w:rsidR="007F50DB" w:rsidRPr="000B5848">
              <w:rPr>
                <w:rStyle w:val="Hyperlink"/>
                <w:noProof/>
              </w:rPr>
              <w:t>Reflective practice</w:t>
            </w:r>
            <w:r w:rsidR="007F50DB">
              <w:rPr>
                <w:noProof/>
                <w:webHidden/>
              </w:rPr>
              <w:tab/>
            </w:r>
            <w:r w:rsidR="007F50DB">
              <w:rPr>
                <w:noProof/>
                <w:webHidden/>
              </w:rPr>
              <w:fldChar w:fldCharType="begin"/>
            </w:r>
            <w:r w:rsidR="007F50DB">
              <w:rPr>
                <w:noProof/>
                <w:webHidden/>
              </w:rPr>
              <w:instrText xml:space="preserve"> PAGEREF _Toc87526324 \h </w:instrText>
            </w:r>
            <w:r w:rsidR="007F50DB">
              <w:rPr>
                <w:noProof/>
                <w:webHidden/>
              </w:rPr>
            </w:r>
            <w:r w:rsidR="007F50DB">
              <w:rPr>
                <w:noProof/>
                <w:webHidden/>
              </w:rPr>
              <w:fldChar w:fldCharType="separate"/>
            </w:r>
            <w:r w:rsidR="00A21379">
              <w:rPr>
                <w:noProof/>
                <w:webHidden/>
              </w:rPr>
              <w:t>53</w:t>
            </w:r>
            <w:r w:rsidR="007F50DB">
              <w:rPr>
                <w:noProof/>
                <w:webHidden/>
              </w:rPr>
              <w:fldChar w:fldCharType="end"/>
            </w:r>
          </w:hyperlink>
        </w:p>
        <w:p w14:paraId="70395A85" w14:textId="1B5D0EC2"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25" w:history="1">
            <w:r w:rsidR="007F50DB" w:rsidRPr="000B5848">
              <w:rPr>
                <w:rStyle w:val="Hyperlink"/>
                <w:noProof/>
              </w:rPr>
              <w:t>Follow the laws, policies and frameworks</w:t>
            </w:r>
            <w:r w:rsidR="007F50DB">
              <w:rPr>
                <w:noProof/>
                <w:webHidden/>
              </w:rPr>
              <w:tab/>
            </w:r>
            <w:r w:rsidR="007F50DB">
              <w:rPr>
                <w:noProof/>
                <w:webHidden/>
              </w:rPr>
              <w:fldChar w:fldCharType="begin"/>
            </w:r>
            <w:r w:rsidR="007F50DB">
              <w:rPr>
                <w:noProof/>
                <w:webHidden/>
              </w:rPr>
              <w:instrText xml:space="preserve"> PAGEREF _Toc87526325 \h </w:instrText>
            </w:r>
            <w:r w:rsidR="007F50DB">
              <w:rPr>
                <w:noProof/>
                <w:webHidden/>
              </w:rPr>
            </w:r>
            <w:r w:rsidR="007F50DB">
              <w:rPr>
                <w:noProof/>
                <w:webHidden/>
              </w:rPr>
              <w:fldChar w:fldCharType="separate"/>
            </w:r>
            <w:r w:rsidR="00A21379">
              <w:rPr>
                <w:noProof/>
                <w:webHidden/>
              </w:rPr>
              <w:t>55</w:t>
            </w:r>
            <w:r w:rsidR="007F50DB">
              <w:rPr>
                <w:noProof/>
                <w:webHidden/>
              </w:rPr>
              <w:fldChar w:fldCharType="end"/>
            </w:r>
          </w:hyperlink>
        </w:p>
        <w:p w14:paraId="63529953" w14:textId="4E440E56"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26" w:history="1">
            <w:r w:rsidR="007F50DB" w:rsidRPr="000B5848">
              <w:rPr>
                <w:rStyle w:val="Hyperlink"/>
                <w:noProof/>
              </w:rPr>
              <w:t>Follow the organisational policies and practice</w:t>
            </w:r>
            <w:r w:rsidR="007F50DB">
              <w:rPr>
                <w:noProof/>
                <w:webHidden/>
              </w:rPr>
              <w:tab/>
            </w:r>
            <w:r w:rsidR="007F50DB">
              <w:rPr>
                <w:noProof/>
                <w:webHidden/>
              </w:rPr>
              <w:fldChar w:fldCharType="begin"/>
            </w:r>
            <w:r w:rsidR="007F50DB">
              <w:rPr>
                <w:noProof/>
                <w:webHidden/>
              </w:rPr>
              <w:instrText xml:space="preserve"> PAGEREF _Toc87526326 \h </w:instrText>
            </w:r>
            <w:r w:rsidR="007F50DB">
              <w:rPr>
                <w:noProof/>
                <w:webHidden/>
              </w:rPr>
            </w:r>
            <w:r w:rsidR="007F50DB">
              <w:rPr>
                <w:noProof/>
                <w:webHidden/>
              </w:rPr>
              <w:fldChar w:fldCharType="separate"/>
            </w:r>
            <w:r w:rsidR="00A21379">
              <w:rPr>
                <w:noProof/>
                <w:webHidden/>
              </w:rPr>
              <w:t>55</w:t>
            </w:r>
            <w:r w:rsidR="007F50DB">
              <w:rPr>
                <w:noProof/>
                <w:webHidden/>
              </w:rPr>
              <w:fldChar w:fldCharType="end"/>
            </w:r>
          </w:hyperlink>
        </w:p>
        <w:p w14:paraId="72D0EC7A" w14:textId="6C365C07"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27" w:history="1">
            <w:r w:rsidR="007F50DB" w:rsidRPr="000B5848">
              <w:rPr>
                <w:rStyle w:val="Hyperlink"/>
                <w:noProof/>
              </w:rPr>
              <w:t>Follow the resources</w:t>
            </w:r>
            <w:r w:rsidR="007F50DB">
              <w:rPr>
                <w:noProof/>
                <w:webHidden/>
              </w:rPr>
              <w:tab/>
            </w:r>
            <w:r w:rsidR="007F50DB">
              <w:rPr>
                <w:noProof/>
                <w:webHidden/>
              </w:rPr>
              <w:fldChar w:fldCharType="begin"/>
            </w:r>
            <w:r w:rsidR="007F50DB">
              <w:rPr>
                <w:noProof/>
                <w:webHidden/>
              </w:rPr>
              <w:instrText xml:space="preserve"> PAGEREF _Toc87526327 \h </w:instrText>
            </w:r>
            <w:r w:rsidR="007F50DB">
              <w:rPr>
                <w:noProof/>
                <w:webHidden/>
              </w:rPr>
            </w:r>
            <w:r w:rsidR="007F50DB">
              <w:rPr>
                <w:noProof/>
                <w:webHidden/>
              </w:rPr>
              <w:fldChar w:fldCharType="separate"/>
            </w:r>
            <w:r w:rsidR="00A21379">
              <w:rPr>
                <w:noProof/>
                <w:webHidden/>
              </w:rPr>
              <w:t>55</w:t>
            </w:r>
            <w:r w:rsidR="007F50DB">
              <w:rPr>
                <w:noProof/>
                <w:webHidden/>
              </w:rPr>
              <w:fldChar w:fldCharType="end"/>
            </w:r>
          </w:hyperlink>
        </w:p>
        <w:p w14:paraId="540CF0AA" w14:textId="3EE5C8E5"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28" w:history="1">
            <w:r w:rsidR="007F50DB" w:rsidRPr="000B5848">
              <w:rPr>
                <w:rStyle w:val="Hyperlink"/>
                <w:noProof/>
              </w:rPr>
              <w:t>Follow the leaders, power, and decision making</w:t>
            </w:r>
            <w:r w:rsidR="007F50DB">
              <w:rPr>
                <w:noProof/>
                <w:webHidden/>
              </w:rPr>
              <w:tab/>
            </w:r>
            <w:r w:rsidR="007F50DB">
              <w:rPr>
                <w:noProof/>
                <w:webHidden/>
              </w:rPr>
              <w:fldChar w:fldCharType="begin"/>
            </w:r>
            <w:r w:rsidR="007F50DB">
              <w:rPr>
                <w:noProof/>
                <w:webHidden/>
              </w:rPr>
              <w:instrText xml:space="preserve"> PAGEREF _Toc87526328 \h </w:instrText>
            </w:r>
            <w:r w:rsidR="007F50DB">
              <w:rPr>
                <w:noProof/>
                <w:webHidden/>
              </w:rPr>
            </w:r>
            <w:r w:rsidR="007F50DB">
              <w:rPr>
                <w:noProof/>
                <w:webHidden/>
              </w:rPr>
              <w:fldChar w:fldCharType="separate"/>
            </w:r>
            <w:r w:rsidR="00A21379">
              <w:rPr>
                <w:noProof/>
                <w:webHidden/>
              </w:rPr>
              <w:t>55</w:t>
            </w:r>
            <w:r w:rsidR="007F50DB">
              <w:rPr>
                <w:noProof/>
                <w:webHidden/>
              </w:rPr>
              <w:fldChar w:fldCharType="end"/>
            </w:r>
          </w:hyperlink>
        </w:p>
        <w:p w14:paraId="0F799CC7" w14:textId="38C1C14E"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29" w:history="1">
            <w:r w:rsidR="007F50DB" w:rsidRPr="000B5848">
              <w:rPr>
                <w:rStyle w:val="Hyperlink"/>
                <w:noProof/>
              </w:rPr>
              <w:t>Follow the culture, attitudes and behaviours</w:t>
            </w:r>
            <w:r w:rsidR="007F50DB">
              <w:rPr>
                <w:noProof/>
                <w:webHidden/>
              </w:rPr>
              <w:tab/>
            </w:r>
            <w:r w:rsidR="007F50DB">
              <w:rPr>
                <w:noProof/>
                <w:webHidden/>
              </w:rPr>
              <w:fldChar w:fldCharType="begin"/>
            </w:r>
            <w:r w:rsidR="007F50DB">
              <w:rPr>
                <w:noProof/>
                <w:webHidden/>
              </w:rPr>
              <w:instrText xml:space="preserve"> PAGEREF _Toc87526329 \h </w:instrText>
            </w:r>
            <w:r w:rsidR="007F50DB">
              <w:rPr>
                <w:noProof/>
                <w:webHidden/>
              </w:rPr>
            </w:r>
            <w:r w:rsidR="007F50DB">
              <w:rPr>
                <w:noProof/>
                <w:webHidden/>
              </w:rPr>
              <w:fldChar w:fldCharType="separate"/>
            </w:r>
            <w:r w:rsidR="00A21379">
              <w:rPr>
                <w:noProof/>
                <w:webHidden/>
              </w:rPr>
              <w:t>56</w:t>
            </w:r>
            <w:r w:rsidR="007F50DB">
              <w:rPr>
                <w:noProof/>
                <w:webHidden/>
              </w:rPr>
              <w:fldChar w:fldCharType="end"/>
            </w:r>
          </w:hyperlink>
        </w:p>
        <w:p w14:paraId="47802ACD" w14:textId="324AF8B1"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30" w:history="1">
            <w:r w:rsidR="007F50DB" w:rsidRPr="000B5848">
              <w:rPr>
                <w:rStyle w:val="Hyperlink"/>
                <w:noProof/>
              </w:rPr>
              <w:t>Conclusion</w:t>
            </w:r>
            <w:r w:rsidR="007F50DB">
              <w:rPr>
                <w:noProof/>
                <w:webHidden/>
              </w:rPr>
              <w:tab/>
            </w:r>
            <w:r w:rsidR="007F50DB">
              <w:rPr>
                <w:noProof/>
                <w:webHidden/>
              </w:rPr>
              <w:fldChar w:fldCharType="begin"/>
            </w:r>
            <w:r w:rsidR="007F50DB">
              <w:rPr>
                <w:noProof/>
                <w:webHidden/>
              </w:rPr>
              <w:instrText xml:space="preserve"> PAGEREF _Toc87526330 \h </w:instrText>
            </w:r>
            <w:r w:rsidR="007F50DB">
              <w:rPr>
                <w:noProof/>
                <w:webHidden/>
              </w:rPr>
            </w:r>
            <w:r w:rsidR="007F50DB">
              <w:rPr>
                <w:noProof/>
                <w:webHidden/>
              </w:rPr>
              <w:fldChar w:fldCharType="separate"/>
            </w:r>
            <w:r w:rsidR="00A21379">
              <w:rPr>
                <w:noProof/>
                <w:webHidden/>
              </w:rPr>
              <w:t>56</w:t>
            </w:r>
            <w:r w:rsidR="007F50DB">
              <w:rPr>
                <w:noProof/>
                <w:webHidden/>
              </w:rPr>
              <w:fldChar w:fldCharType="end"/>
            </w:r>
          </w:hyperlink>
        </w:p>
        <w:p w14:paraId="1AF6D045" w14:textId="2EE54B21" w:rsidR="007F50DB" w:rsidRDefault="007F68BB">
          <w:pPr>
            <w:pStyle w:val="TOC1"/>
            <w:tabs>
              <w:tab w:val="right" w:leader="dot" w:pos="10188"/>
            </w:tabs>
            <w:rPr>
              <w:rFonts w:asciiTheme="minorHAnsi" w:eastAsiaTheme="minorEastAsia" w:hAnsiTheme="minorHAnsi" w:cstheme="minorBidi"/>
              <w:b w:val="0"/>
              <w:noProof/>
              <w:sz w:val="22"/>
              <w:szCs w:val="22"/>
              <w:lang w:bidi="ar-SA"/>
            </w:rPr>
          </w:pPr>
          <w:hyperlink w:anchor="_Toc87526331" w:history="1">
            <w:r w:rsidR="007F50DB" w:rsidRPr="000B5848">
              <w:rPr>
                <w:rStyle w:val="Hyperlink"/>
                <w:noProof/>
              </w:rPr>
              <w:t>Part 5 - Responding to Resistance &amp; Backlash</w:t>
            </w:r>
            <w:r w:rsidR="007F50DB">
              <w:rPr>
                <w:noProof/>
                <w:webHidden/>
              </w:rPr>
              <w:tab/>
            </w:r>
            <w:r w:rsidR="007F50DB">
              <w:rPr>
                <w:noProof/>
                <w:webHidden/>
              </w:rPr>
              <w:fldChar w:fldCharType="begin"/>
            </w:r>
            <w:r w:rsidR="007F50DB">
              <w:rPr>
                <w:noProof/>
                <w:webHidden/>
              </w:rPr>
              <w:instrText xml:space="preserve"> PAGEREF _Toc87526331 \h </w:instrText>
            </w:r>
            <w:r w:rsidR="007F50DB">
              <w:rPr>
                <w:noProof/>
                <w:webHidden/>
              </w:rPr>
            </w:r>
            <w:r w:rsidR="007F50DB">
              <w:rPr>
                <w:noProof/>
                <w:webHidden/>
              </w:rPr>
              <w:fldChar w:fldCharType="separate"/>
            </w:r>
            <w:r w:rsidR="00A21379">
              <w:rPr>
                <w:noProof/>
                <w:webHidden/>
              </w:rPr>
              <w:t>57</w:t>
            </w:r>
            <w:r w:rsidR="007F50DB">
              <w:rPr>
                <w:noProof/>
                <w:webHidden/>
              </w:rPr>
              <w:fldChar w:fldCharType="end"/>
            </w:r>
          </w:hyperlink>
        </w:p>
        <w:p w14:paraId="09A099B9" w14:textId="240F857C"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32" w:history="1">
            <w:r w:rsidR="007F50DB" w:rsidRPr="000B5848">
              <w:rPr>
                <w:rStyle w:val="Hyperlink"/>
                <w:noProof/>
              </w:rPr>
              <w:t>Strategies to minimise resistance and backlash</w:t>
            </w:r>
            <w:r w:rsidR="007F50DB">
              <w:rPr>
                <w:noProof/>
                <w:webHidden/>
              </w:rPr>
              <w:tab/>
            </w:r>
            <w:r w:rsidR="007F50DB">
              <w:rPr>
                <w:noProof/>
                <w:webHidden/>
              </w:rPr>
              <w:fldChar w:fldCharType="begin"/>
            </w:r>
            <w:r w:rsidR="007F50DB">
              <w:rPr>
                <w:noProof/>
                <w:webHidden/>
              </w:rPr>
              <w:instrText xml:space="preserve"> PAGEREF _Toc87526332 \h </w:instrText>
            </w:r>
            <w:r w:rsidR="007F50DB">
              <w:rPr>
                <w:noProof/>
                <w:webHidden/>
              </w:rPr>
            </w:r>
            <w:r w:rsidR="007F50DB">
              <w:rPr>
                <w:noProof/>
                <w:webHidden/>
              </w:rPr>
              <w:fldChar w:fldCharType="separate"/>
            </w:r>
            <w:r w:rsidR="00A21379">
              <w:rPr>
                <w:noProof/>
                <w:webHidden/>
              </w:rPr>
              <w:t>57</w:t>
            </w:r>
            <w:r w:rsidR="007F50DB">
              <w:rPr>
                <w:noProof/>
                <w:webHidden/>
              </w:rPr>
              <w:fldChar w:fldCharType="end"/>
            </w:r>
          </w:hyperlink>
        </w:p>
        <w:p w14:paraId="7135F996" w14:textId="1D1C6DEF" w:rsidR="007F50DB" w:rsidRPr="008D0E66" w:rsidRDefault="007F68BB" w:rsidP="008D0E66">
          <w:pPr>
            <w:pStyle w:val="TOC3"/>
            <w:tabs>
              <w:tab w:val="right" w:leader="dot" w:pos="10188"/>
            </w:tabs>
            <w:ind w:left="720"/>
            <w:rPr>
              <w:rFonts w:asciiTheme="minorHAnsi" w:eastAsiaTheme="minorEastAsia" w:hAnsiTheme="minorHAnsi" w:cstheme="minorBidi"/>
              <w:noProof/>
              <w:sz w:val="16"/>
              <w:szCs w:val="16"/>
              <w:lang w:bidi="ar-SA"/>
            </w:rPr>
          </w:pPr>
          <w:hyperlink w:anchor="_Toc87526333" w:history="1">
            <w:r w:rsidR="007F50DB" w:rsidRPr="008D0E66">
              <w:rPr>
                <w:rStyle w:val="Hyperlink"/>
                <w:bCs/>
                <w:noProof/>
                <w:sz w:val="18"/>
                <w:szCs w:val="16"/>
              </w:rPr>
              <w:t>Leadership and support</w:t>
            </w:r>
            <w:r w:rsidR="007F50DB" w:rsidRPr="008D0E66">
              <w:rPr>
                <w:noProof/>
                <w:webHidden/>
                <w:sz w:val="18"/>
                <w:szCs w:val="16"/>
              </w:rPr>
              <w:tab/>
            </w:r>
            <w:r w:rsidR="007F50DB" w:rsidRPr="008D0E66">
              <w:rPr>
                <w:noProof/>
                <w:webHidden/>
                <w:sz w:val="18"/>
                <w:szCs w:val="16"/>
              </w:rPr>
              <w:fldChar w:fldCharType="begin"/>
            </w:r>
            <w:r w:rsidR="007F50DB" w:rsidRPr="008D0E66">
              <w:rPr>
                <w:noProof/>
                <w:webHidden/>
                <w:sz w:val="18"/>
                <w:szCs w:val="16"/>
              </w:rPr>
              <w:instrText xml:space="preserve"> PAGEREF _Toc87526333 \h </w:instrText>
            </w:r>
            <w:r w:rsidR="007F50DB" w:rsidRPr="008D0E66">
              <w:rPr>
                <w:noProof/>
                <w:webHidden/>
                <w:sz w:val="18"/>
                <w:szCs w:val="16"/>
              </w:rPr>
            </w:r>
            <w:r w:rsidR="007F50DB" w:rsidRPr="008D0E66">
              <w:rPr>
                <w:noProof/>
                <w:webHidden/>
                <w:sz w:val="18"/>
                <w:szCs w:val="16"/>
              </w:rPr>
              <w:fldChar w:fldCharType="separate"/>
            </w:r>
            <w:r w:rsidR="00A21379">
              <w:rPr>
                <w:noProof/>
                <w:webHidden/>
                <w:sz w:val="18"/>
                <w:szCs w:val="16"/>
              </w:rPr>
              <w:t>58</w:t>
            </w:r>
            <w:r w:rsidR="007F50DB" w:rsidRPr="008D0E66">
              <w:rPr>
                <w:noProof/>
                <w:webHidden/>
                <w:sz w:val="18"/>
                <w:szCs w:val="16"/>
              </w:rPr>
              <w:fldChar w:fldCharType="end"/>
            </w:r>
          </w:hyperlink>
        </w:p>
        <w:p w14:paraId="3EB4F637" w14:textId="5A644859" w:rsidR="007F50DB" w:rsidRPr="008D0E66" w:rsidRDefault="007F68BB" w:rsidP="008D0E66">
          <w:pPr>
            <w:pStyle w:val="TOC3"/>
            <w:tabs>
              <w:tab w:val="right" w:leader="dot" w:pos="10188"/>
            </w:tabs>
            <w:ind w:left="720"/>
            <w:rPr>
              <w:rFonts w:asciiTheme="minorHAnsi" w:eastAsiaTheme="minorEastAsia" w:hAnsiTheme="minorHAnsi" w:cstheme="minorBidi"/>
              <w:noProof/>
              <w:sz w:val="16"/>
              <w:szCs w:val="16"/>
              <w:lang w:bidi="ar-SA"/>
            </w:rPr>
          </w:pPr>
          <w:hyperlink w:anchor="_Toc87526334" w:history="1">
            <w:r w:rsidR="007F50DB" w:rsidRPr="008D0E66">
              <w:rPr>
                <w:rStyle w:val="Hyperlink"/>
                <w:bCs/>
                <w:noProof/>
                <w:sz w:val="18"/>
                <w:szCs w:val="16"/>
              </w:rPr>
              <w:t>Information and analysis</w:t>
            </w:r>
            <w:r w:rsidR="007F50DB" w:rsidRPr="008D0E66">
              <w:rPr>
                <w:noProof/>
                <w:webHidden/>
                <w:sz w:val="18"/>
                <w:szCs w:val="16"/>
              </w:rPr>
              <w:tab/>
            </w:r>
            <w:r w:rsidR="007F50DB" w:rsidRPr="008D0E66">
              <w:rPr>
                <w:noProof/>
                <w:webHidden/>
                <w:sz w:val="18"/>
                <w:szCs w:val="16"/>
              </w:rPr>
              <w:fldChar w:fldCharType="begin"/>
            </w:r>
            <w:r w:rsidR="007F50DB" w:rsidRPr="008D0E66">
              <w:rPr>
                <w:noProof/>
                <w:webHidden/>
                <w:sz w:val="18"/>
                <w:szCs w:val="16"/>
              </w:rPr>
              <w:instrText xml:space="preserve"> PAGEREF _Toc87526334 \h </w:instrText>
            </w:r>
            <w:r w:rsidR="007F50DB" w:rsidRPr="008D0E66">
              <w:rPr>
                <w:noProof/>
                <w:webHidden/>
                <w:sz w:val="18"/>
                <w:szCs w:val="16"/>
              </w:rPr>
            </w:r>
            <w:r w:rsidR="007F50DB" w:rsidRPr="008D0E66">
              <w:rPr>
                <w:noProof/>
                <w:webHidden/>
                <w:sz w:val="18"/>
                <w:szCs w:val="16"/>
              </w:rPr>
              <w:fldChar w:fldCharType="separate"/>
            </w:r>
            <w:r w:rsidR="00A21379">
              <w:rPr>
                <w:noProof/>
                <w:webHidden/>
                <w:sz w:val="18"/>
                <w:szCs w:val="16"/>
              </w:rPr>
              <w:t>59</w:t>
            </w:r>
            <w:r w:rsidR="007F50DB" w:rsidRPr="008D0E66">
              <w:rPr>
                <w:noProof/>
                <w:webHidden/>
                <w:sz w:val="18"/>
                <w:szCs w:val="16"/>
              </w:rPr>
              <w:fldChar w:fldCharType="end"/>
            </w:r>
          </w:hyperlink>
        </w:p>
        <w:p w14:paraId="3F56663C" w14:textId="138F5FA6" w:rsidR="007F50DB" w:rsidRPr="008D0E66" w:rsidRDefault="007F68BB" w:rsidP="008D0E66">
          <w:pPr>
            <w:pStyle w:val="TOC3"/>
            <w:tabs>
              <w:tab w:val="right" w:leader="dot" w:pos="10188"/>
            </w:tabs>
            <w:ind w:left="720"/>
            <w:rPr>
              <w:rFonts w:asciiTheme="minorHAnsi" w:eastAsiaTheme="minorEastAsia" w:hAnsiTheme="minorHAnsi" w:cstheme="minorBidi"/>
              <w:noProof/>
              <w:sz w:val="16"/>
              <w:szCs w:val="16"/>
              <w:lang w:bidi="ar-SA"/>
            </w:rPr>
          </w:pPr>
          <w:hyperlink w:anchor="_Toc87526335" w:history="1">
            <w:r w:rsidR="007F50DB" w:rsidRPr="008D0E66">
              <w:rPr>
                <w:rStyle w:val="Hyperlink"/>
                <w:bCs/>
                <w:noProof/>
                <w:sz w:val="18"/>
                <w:szCs w:val="16"/>
              </w:rPr>
              <w:t>Knowledge and gender expertise</w:t>
            </w:r>
            <w:r w:rsidR="007F50DB" w:rsidRPr="008D0E66">
              <w:rPr>
                <w:noProof/>
                <w:webHidden/>
                <w:sz w:val="18"/>
                <w:szCs w:val="16"/>
              </w:rPr>
              <w:tab/>
            </w:r>
            <w:r w:rsidR="007F50DB" w:rsidRPr="008D0E66">
              <w:rPr>
                <w:noProof/>
                <w:webHidden/>
                <w:sz w:val="18"/>
                <w:szCs w:val="16"/>
              </w:rPr>
              <w:fldChar w:fldCharType="begin"/>
            </w:r>
            <w:r w:rsidR="007F50DB" w:rsidRPr="008D0E66">
              <w:rPr>
                <w:noProof/>
                <w:webHidden/>
                <w:sz w:val="18"/>
                <w:szCs w:val="16"/>
              </w:rPr>
              <w:instrText xml:space="preserve"> PAGEREF _Toc87526335 \h </w:instrText>
            </w:r>
            <w:r w:rsidR="007F50DB" w:rsidRPr="008D0E66">
              <w:rPr>
                <w:noProof/>
                <w:webHidden/>
                <w:sz w:val="18"/>
                <w:szCs w:val="16"/>
              </w:rPr>
            </w:r>
            <w:r w:rsidR="007F50DB" w:rsidRPr="008D0E66">
              <w:rPr>
                <w:noProof/>
                <w:webHidden/>
                <w:sz w:val="18"/>
                <w:szCs w:val="16"/>
              </w:rPr>
              <w:fldChar w:fldCharType="separate"/>
            </w:r>
            <w:r w:rsidR="00A21379">
              <w:rPr>
                <w:noProof/>
                <w:webHidden/>
                <w:sz w:val="18"/>
                <w:szCs w:val="16"/>
              </w:rPr>
              <w:t>62</w:t>
            </w:r>
            <w:r w:rsidR="007F50DB" w:rsidRPr="008D0E66">
              <w:rPr>
                <w:noProof/>
                <w:webHidden/>
                <w:sz w:val="18"/>
                <w:szCs w:val="16"/>
              </w:rPr>
              <w:fldChar w:fldCharType="end"/>
            </w:r>
          </w:hyperlink>
        </w:p>
        <w:p w14:paraId="709CE5DC" w14:textId="1FD3B9CA" w:rsidR="007F50DB" w:rsidRPr="008D0E66" w:rsidRDefault="007F68BB" w:rsidP="008D0E66">
          <w:pPr>
            <w:pStyle w:val="TOC3"/>
            <w:tabs>
              <w:tab w:val="right" w:leader="dot" w:pos="10188"/>
            </w:tabs>
            <w:ind w:left="720"/>
            <w:rPr>
              <w:rFonts w:asciiTheme="minorHAnsi" w:eastAsiaTheme="minorEastAsia" w:hAnsiTheme="minorHAnsi" w:cstheme="minorBidi"/>
              <w:noProof/>
              <w:sz w:val="16"/>
              <w:szCs w:val="16"/>
              <w:lang w:bidi="ar-SA"/>
            </w:rPr>
          </w:pPr>
          <w:hyperlink w:anchor="_Toc87526336" w:history="1">
            <w:r w:rsidR="007F50DB" w:rsidRPr="008D0E66">
              <w:rPr>
                <w:rStyle w:val="Hyperlink"/>
                <w:bCs/>
                <w:noProof/>
                <w:sz w:val="18"/>
                <w:szCs w:val="16"/>
              </w:rPr>
              <w:t>Communications</w:t>
            </w:r>
            <w:r w:rsidR="007F50DB" w:rsidRPr="008D0E66">
              <w:rPr>
                <w:noProof/>
                <w:webHidden/>
                <w:sz w:val="18"/>
                <w:szCs w:val="16"/>
              </w:rPr>
              <w:tab/>
            </w:r>
            <w:r w:rsidR="007F50DB" w:rsidRPr="008D0E66">
              <w:rPr>
                <w:noProof/>
                <w:webHidden/>
                <w:sz w:val="18"/>
                <w:szCs w:val="16"/>
              </w:rPr>
              <w:fldChar w:fldCharType="begin"/>
            </w:r>
            <w:r w:rsidR="007F50DB" w:rsidRPr="008D0E66">
              <w:rPr>
                <w:noProof/>
                <w:webHidden/>
                <w:sz w:val="18"/>
                <w:szCs w:val="16"/>
              </w:rPr>
              <w:instrText xml:space="preserve"> PAGEREF _Toc87526336 \h </w:instrText>
            </w:r>
            <w:r w:rsidR="007F50DB" w:rsidRPr="008D0E66">
              <w:rPr>
                <w:noProof/>
                <w:webHidden/>
                <w:sz w:val="18"/>
                <w:szCs w:val="16"/>
              </w:rPr>
            </w:r>
            <w:r w:rsidR="007F50DB" w:rsidRPr="008D0E66">
              <w:rPr>
                <w:noProof/>
                <w:webHidden/>
                <w:sz w:val="18"/>
                <w:szCs w:val="16"/>
              </w:rPr>
              <w:fldChar w:fldCharType="separate"/>
            </w:r>
            <w:r w:rsidR="00A21379">
              <w:rPr>
                <w:noProof/>
                <w:webHidden/>
                <w:sz w:val="18"/>
                <w:szCs w:val="16"/>
              </w:rPr>
              <w:t>63</w:t>
            </w:r>
            <w:r w:rsidR="007F50DB" w:rsidRPr="008D0E66">
              <w:rPr>
                <w:noProof/>
                <w:webHidden/>
                <w:sz w:val="18"/>
                <w:szCs w:val="16"/>
              </w:rPr>
              <w:fldChar w:fldCharType="end"/>
            </w:r>
          </w:hyperlink>
        </w:p>
        <w:p w14:paraId="4E2B0F80" w14:textId="313F8201" w:rsidR="007F50DB" w:rsidRPr="008D0E66" w:rsidRDefault="007F68BB" w:rsidP="008D0E66">
          <w:pPr>
            <w:pStyle w:val="TOC3"/>
            <w:tabs>
              <w:tab w:val="right" w:leader="dot" w:pos="10188"/>
            </w:tabs>
            <w:ind w:left="720"/>
            <w:rPr>
              <w:rFonts w:asciiTheme="minorHAnsi" w:eastAsiaTheme="minorEastAsia" w:hAnsiTheme="minorHAnsi" w:cstheme="minorBidi"/>
              <w:noProof/>
              <w:sz w:val="16"/>
              <w:szCs w:val="16"/>
              <w:lang w:bidi="ar-SA"/>
            </w:rPr>
          </w:pPr>
          <w:hyperlink w:anchor="_Toc87526337" w:history="1">
            <w:r w:rsidR="007F50DB" w:rsidRPr="008D0E66">
              <w:rPr>
                <w:rStyle w:val="Hyperlink"/>
                <w:bCs/>
                <w:noProof/>
                <w:sz w:val="18"/>
                <w:szCs w:val="16"/>
              </w:rPr>
              <w:t>Institutional legitimacy</w:t>
            </w:r>
            <w:r w:rsidR="007F50DB" w:rsidRPr="008D0E66">
              <w:rPr>
                <w:noProof/>
                <w:webHidden/>
                <w:sz w:val="18"/>
                <w:szCs w:val="16"/>
              </w:rPr>
              <w:tab/>
            </w:r>
            <w:r w:rsidR="007F50DB" w:rsidRPr="008D0E66">
              <w:rPr>
                <w:noProof/>
                <w:webHidden/>
                <w:sz w:val="18"/>
                <w:szCs w:val="16"/>
              </w:rPr>
              <w:fldChar w:fldCharType="begin"/>
            </w:r>
            <w:r w:rsidR="007F50DB" w:rsidRPr="008D0E66">
              <w:rPr>
                <w:noProof/>
                <w:webHidden/>
                <w:sz w:val="18"/>
                <w:szCs w:val="16"/>
              </w:rPr>
              <w:instrText xml:space="preserve"> PAGEREF _Toc87526337 \h </w:instrText>
            </w:r>
            <w:r w:rsidR="007F50DB" w:rsidRPr="008D0E66">
              <w:rPr>
                <w:noProof/>
                <w:webHidden/>
                <w:sz w:val="18"/>
                <w:szCs w:val="16"/>
              </w:rPr>
            </w:r>
            <w:r w:rsidR="007F50DB" w:rsidRPr="008D0E66">
              <w:rPr>
                <w:noProof/>
                <w:webHidden/>
                <w:sz w:val="18"/>
                <w:szCs w:val="16"/>
              </w:rPr>
              <w:fldChar w:fldCharType="separate"/>
            </w:r>
            <w:r w:rsidR="00A21379">
              <w:rPr>
                <w:noProof/>
                <w:webHidden/>
                <w:sz w:val="18"/>
                <w:szCs w:val="16"/>
              </w:rPr>
              <w:t>63</w:t>
            </w:r>
            <w:r w:rsidR="007F50DB" w:rsidRPr="008D0E66">
              <w:rPr>
                <w:noProof/>
                <w:webHidden/>
                <w:sz w:val="18"/>
                <w:szCs w:val="16"/>
              </w:rPr>
              <w:fldChar w:fldCharType="end"/>
            </w:r>
          </w:hyperlink>
        </w:p>
        <w:p w14:paraId="64FE6E99" w14:textId="682BF3FE" w:rsidR="007F50DB" w:rsidRPr="008D0E66" w:rsidRDefault="007F68BB" w:rsidP="008D0E66">
          <w:pPr>
            <w:pStyle w:val="TOC3"/>
            <w:tabs>
              <w:tab w:val="right" w:leader="dot" w:pos="10188"/>
            </w:tabs>
            <w:ind w:left="720"/>
            <w:rPr>
              <w:rFonts w:asciiTheme="minorHAnsi" w:eastAsiaTheme="minorEastAsia" w:hAnsiTheme="minorHAnsi" w:cstheme="minorBidi"/>
              <w:noProof/>
              <w:sz w:val="16"/>
              <w:szCs w:val="16"/>
              <w:lang w:bidi="ar-SA"/>
            </w:rPr>
          </w:pPr>
          <w:hyperlink w:anchor="_Toc87526338" w:history="1">
            <w:r w:rsidR="007F50DB" w:rsidRPr="008D0E66">
              <w:rPr>
                <w:rStyle w:val="Hyperlink"/>
                <w:bCs/>
                <w:noProof/>
                <w:sz w:val="18"/>
                <w:szCs w:val="16"/>
              </w:rPr>
              <w:t>Partnerships, allies and networks</w:t>
            </w:r>
            <w:r w:rsidR="007F50DB" w:rsidRPr="008D0E66">
              <w:rPr>
                <w:noProof/>
                <w:webHidden/>
                <w:sz w:val="18"/>
                <w:szCs w:val="16"/>
              </w:rPr>
              <w:tab/>
            </w:r>
            <w:r w:rsidR="007F50DB" w:rsidRPr="008D0E66">
              <w:rPr>
                <w:noProof/>
                <w:webHidden/>
                <w:sz w:val="18"/>
                <w:szCs w:val="16"/>
              </w:rPr>
              <w:fldChar w:fldCharType="begin"/>
            </w:r>
            <w:r w:rsidR="007F50DB" w:rsidRPr="008D0E66">
              <w:rPr>
                <w:noProof/>
                <w:webHidden/>
                <w:sz w:val="18"/>
                <w:szCs w:val="16"/>
              </w:rPr>
              <w:instrText xml:space="preserve"> PAGEREF _Toc87526338 \h </w:instrText>
            </w:r>
            <w:r w:rsidR="007F50DB" w:rsidRPr="008D0E66">
              <w:rPr>
                <w:noProof/>
                <w:webHidden/>
                <w:sz w:val="18"/>
                <w:szCs w:val="16"/>
              </w:rPr>
            </w:r>
            <w:r w:rsidR="007F50DB" w:rsidRPr="008D0E66">
              <w:rPr>
                <w:noProof/>
                <w:webHidden/>
                <w:sz w:val="18"/>
                <w:szCs w:val="16"/>
              </w:rPr>
              <w:fldChar w:fldCharType="separate"/>
            </w:r>
            <w:r w:rsidR="00A21379">
              <w:rPr>
                <w:noProof/>
                <w:webHidden/>
                <w:sz w:val="18"/>
                <w:szCs w:val="16"/>
              </w:rPr>
              <w:t>64</w:t>
            </w:r>
            <w:r w:rsidR="007F50DB" w:rsidRPr="008D0E66">
              <w:rPr>
                <w:noProof/>
                <w:webHidden/>
                <w:sz w:val="18"/>
                <w:szCs w:val="16"/>
              </w:rPr>
              <w:fldChar w:fldCharType="end"/>
            </w:r>
          </w:hyperlink>
        </w:p>
        <w:p w14:paraId="0FE5E044" w14:textId="1814D61A" w:rsidR="007F50DB" w:rsidRPr="008D0E66" w:rsidRDefault="007F68BB" w:rsidP="008D0E66">
          <w:pPr>
            <w:pStyle w:val="TOC3"/>
            <w:tabs>
              <w:tab w:val="right" w:leader="dot" w:pos="10188"/>
            </w:tabs>
            <w:ind w:left="720"/>
            <w:rPr>
              <w:rFonts w:asciiTheme="minorHAnsi" w:eastAsiaTheme="minorEastAsia" w:hAnsiTheme="minorHAnsi" w:cstheme="minorBidi"/>
              <w:noProof/>
              <w:sz w:val="16"/>
              <w:szCs w:val="16"/>
              <w:lang w:bidi="ar-SA"/>
            </w:rPr>
          </w:pPr>
          <w:hyperlink w:anchor="_Toc87526339" w:history="1">
            <w:r w:rsidR="007F50DB" w:rsidRPr="008D0E66">
              <w:rPr>
                <w:rStyle w:val="Hyperlink"/>
                <w:bCs/>
                <w:noProof/>
                <w:sz w:val="18"/>
                <w:szCs w:val="16"/>
              </w:rPr>
              <w:t>Open debate and discussion</w:t>
            </w:r>
            <w:r w:rsidR="007F50DB" w:rsidRPr="008D0E66">
              <w:rPr>
                <w:noProof/>
                <w:webHidden/>
                <w:sz w:val="18"/>
                <w:szCs w:val="16"/>
              </w:rPr>
              <w:tab/>
            </w:r>
            <w:r w:rsidR="007F50DB" w:rsidRPr="008D0E66">
              <w:rPr>
                <w:noProof/>
                <w:webHidden/>
                <w:sz w:val="18"/>
                <w:szCs w:val="16"/>
              </w:rPr>
              <w:fldChar w:fldCharType="begin"/>
            </w:r>
            <w:r w:rsidR="007F50DB" w:rsidRPr="008D0E66">
              <w:rPr>
                <w:noProof/>
                <w:webHidden/>
                <w:sz w:val="18"/>
                <w:szCs w:val="16"/>
              </w:rPr>
              <w:instrText xml:space="preserve"> PAGEREF _Toc87526339 \h </w:instrText>
            </w:r>
            <w:r w:rsidR="007F50DB" w:rsidRPr="008D0E66">
              <w:rPr>
                <w:noProof/>
                <w:webHidden/>
                <w:sz w:val="18"/>
                <w:szCs w:val="16"/>
              </w:rPr>
            </w:r>
            <w:r w:rsidR="007F50DB" w:rsidRPr="008D0E66">
              <w:rPr>
                <w:noProof/>
                <w:webHidden/>
                <w:sz w:val="18"/>
                <w:szCs w:val="16"/>
              </w:rPr>
              <w:fldChar w:fldCharType="separate"/>
            </w:r>
            <w:r w:rsidR="00A21379">
              <w:rPr>
                <w:noProof/>
                <w:webHidden/>
                <w:sz w:val="18"/>
                <w:szCs w:val="16"/>
              </w:rPr>
              <w:t>66</w:t>
            </w:r>
            <w:r w:rsidR="007F50DB" w:rsidRPr="008D0E66">
              <w:rPr>
                <w:noProof/>
                <w:webHidden/>
                <w:sz w:val="18"/>
                <w:szCs w:val="16"/>
              </w:rPr>
              <w:fldChar w:fldCharType="end"/>
            </w:r>
          </w:hyperlink>
        </w:p>
        <w:p w14:paraId="00D94DC6" w14:textId="5DF5CCD1" w:rsidR="007F50DB" w:rsidRDefault="007F68BB">
          <w:pPr>
            <w:pStyle w:val="TOC2"/>
            <w:tabs>
              <w:tab w:val="right" w:leader="dot" w:pos="10188"/>
            </w:tabs>
            <w:rPr>
              <w:rFonts w:asciiTheme="minorHAnsi" w:eastAsiaTheme="minorEastAsia" w:hAnsiTheme="minorHAnsi" w:cstheme="minorBidi"/>
              <w:noProof/>
              <w:sz w:val="22"/>
              <w:szCs w:val="22"/>
              <w:lang w:bidi="ar-SA"/>
            </w:rPr>
          </w:pPr>
          <w:hyperlink w:anchor="_Toc87526340" w:history="1">
            <w:r w:rsidR="007F50DB" w:rsidRPr="000B5848">
              <w:rPr>
                <w:rStyle w:val="Hyperlink"/>
                <w:noProof/>
              </w:rPr>
              <w:t>Strategies to respond to resistance and backlash</w:t>
            </w:r>
            <w:r w:rsidR="007F50DB">
              <w:rPr>
                <w:noProof/>
                <w:webHidden/>
              </w:rPr>
              <w:tab/>
            </w:r>
            <w:r w:rsidR="007F50DB">
              <w:rPr>
                <w:noProof/>
                <w:webHidden/>
              </w:rPr>
              <w:fldChar w:fldCharType="begin"/>
            </w:r>
            <w:r w:rsidR="007F50DB">
              <w:rPr>
                <w:noProof/>
                <w:webHidden/>
              </w:rPr>
              <w:instrText xml:space="preserve"> PAGEREF _Toc87526340 \h </w:instrText>
            </w:r>
            <w:r w:rsidR="007F50DB">
              <w:rPr>
                <w:noProof/>
                <w:webHidden/>
              </w:rPr>
            </w:r>
            <w:r w:rsidR="007F50DB">
              <w:rPr>
                <w:noProof/>
                <w:webHidden/>
              </w:rPr>
              <w:fldChar w:fldCharType="separate"/>
            </w:r>
            <w:r w:rsidR="00A21379">
              <w:rPr>
                <w:noProof/>
                <w:webHidden/>
              </w:rPr>
              <w:t>67</w:t>
            </w:r>
            <w:r w:rsidR="007F50DB">
              <w:rPr>
                <w:noProof/>
                <w:webHidden/>
              </w:rPr>
              <w:fldChar w:fldCharType="end"/>
            </w:r>
          </w:hyperlink>
        </w:p>
        <w:p w14:paraId="2B8959D5" w14:textId="79BE010B" w:rsidR="007F50DB" w:rsidRPr="008D0E66" w:rsidRDefault="007F68BB" w:rsidP="008D0E66">
          <w:pPr>
            <w:pStyle w:val="TOC3"/>
            <w:tabs>
              <w:tab w:val="right" w:leader="dot" w:pos="10188"/>
            </w:tabs>
            <w:ind w:left="720"/>
            <w:rPr>
              <w:rStyle w:val="Hyperlink"/>
              <w:bCs/>
              <w:noProof/>
              <w:sz w:val="18"/>
              <w:szCs w:val="16"/>
            </w:rPr>
          </w:pPr>
          <w:hyperlink w:anchor="_Toc87526341" w:history="1">
            <w:r w:rsidR="007F50DB" w:rsidRPr="008D0E66">
              <w:rPr>
                <w:rStyle w:val="Hyperlink"/>
                <w:bCs/>
                <w:noProof/>
                <w:sz w:val="18"/>
                <w:szCs w:val="16"/>
              </w:rPr>
              <w:t>Overcoming resistance</w:t>
            </w:r>
            <w:r w:rsidR="007F50DB" w:rsidRPr="008D0E66">
              <w:rPr>
                <w:rStyle w:val="Hyperlink"/>
                <w:bCs/>
                <w:noProof/>
                <w:webHidden/>
                <w:sz w:val="18"/>
                <w:szCs w:val="16"/>
              </w:rPr>
              <w:tab/>
            </w:r>
            <w:r w:rsidR="007F50DB" w:rsidRPr="008D0E66">
              <w:rPr>
                <w:rStyle w:val="Hyperlink"/>
                <w:bCs/>
                <w:noProof/>
                <w:webHidden/>
                <w:sz w:val="18"/>
                <w:szCs w:val="16"/>
              </w:rPr>
              <w:fldChar w:fldCharType="begin"/>
            </w:r>
            <w:r w:rsidR="007F50DB" w:rsidRPr="008D0E66">
              <w:rPr>
                <w:rStyle w:val="Hyperlink"/>
                <w:bCs/>
                <w:noProof/>
                <w:webHidden/>
                <w:sz w:val="18"/>
                <w:szCs w:val="16"/>
              </w:rPr>
              <w:instrText xml:space="preserve"> PAGEREF _Toc87526341 \h </w:instrText>
            </w:r>
            <w:r w:rsidR="007F50DB" w:rsidRPr="008D0E66">
              <w:rPr>
                <w:rStyle w:val="Hyperlink"/>
                <w:bCs/>
                <w:noProof/>
                <w:webHidden/>
                <w:sz w:val="18"/>
                <w:szCs w:val="16"/>
              </w:rPr>
            </w:r>
            <w:r w:rsidR="007F50DB" w:rsidRPr="008D0E66">
              <w:rPr>
                <w:rStyle w:val="Hyperlink"/>
                <w:bCs/>
                <w:noProof/>
                <w:webHidden/>
                <w:sz w:val="18"/>
                <w:szCs w:val="16"/>
              </w:rPr>
              <w:fldChar w:fldCharType="separate"/>
            </w:r>
            <w:r w:rsidR="00A21379">
              <w:rPr>
                <w:rStyle w:val="Hyperlink"/>
                <w:bCs/>
                <w:noProof/>
                <w:webHidden/>
                <w:sz w:val="18"/>
                <w:szCs w:val="16"/>
              </w:rPr>
              <w:t>70</w:t>
            </w:r>
            <w:r w:rsidR="007F50DB" w:rsidRPr="008D0E66">
              <w:rPr>
                <w:rStyle w:val="Hyperlink"/>
                <w:bCs/>
                <w:noProof/>
                <w:webHidden/>
                <w:sz w:val="18"/>
                <w:szCs w:val="16"/>
              </w:rPr>
              <w:fldChar w:fldCharType="end"/>
            </w:r>
          </w:hyperlink>
        </w:p>
        <w:p w14:paraId="4F47FCFF" w14:textId="399A3A65" w:rsidR="007F50DB" w:rsidRPr="008D0E66" w:rsidRDefault="007F68BB" w:rsidP="008D0E66">
          <w:pPr>
            <w:pStyle w:val="TOC3"/>
            <w:tabs>
              <w:tab w:val="right" w:leader="dot" w:pos="10188"/>
            </w:tabs>
            <w:ind w:left="720"/>
            <w:rPr>
              <w:rStyle w:val="Hyperlink"/>
              <w:bCs/>
              <w:noProof/>
              <w:sz w:val="18"/>
              <w:szCs w:val="16"/>
            </w:rPr>
          </w:pPr>
          <w:hyperlink w:anchor="_Toc87526342" w:history="1">
            <w:r w:rsidR="007F50DB" w:rsidRPr="008D0E66">
              <w:rPr>
                <w:rStyle w:val="Hyperlink"/>
                <w:bCs/>
                <w:noProof/>
                <w:sz w:val="18"/>
                <w:szCs w:val="16"/>
              </w:rPr>
              <w:t xml:space="preserve">Practicing </w:t>
            </w:r>
            <w:r w:rsidR="0098428F">
              <w:rPr>
                <w:rStyle w:val="Hyperlink"/>
                <w:bCs/>
                <w:noProof/>
                <w:sz w:val="18"/>
                <w:szCs w:val="16"/>
              </w:rPr>
              <w:t>c</w:t>
            </w:r>
            <w:r w:rsidR="007F50DB" w:rsidRPr="008D0E66">
              <w:rPr>
                <w:rStyle w:val="Hyperlink"/>
                <w:bCs/>
                <w:noProof/>
                <w:sz w:val="18"/>
                <w:szCs w:val="16"/>
              </w:rPr>
              <w:t>uriosity</w:t>
            </w:r>
            <w:r w:rsidR="007F50DB" w:rsidRPr="008D0E66">
              <w:rPr>
                <w:rStyle w:val="Hyperlink"/>
                <w:bCs/>
                <w:noProof/>
                <w:webHidden/>
                <w:sz w:val="18"/>
                <w:szCs w:val="16"/>
              </w:rPr>
              <w:tab/>
            </w:r>
            <w:r w:rsidR="007F50DB" w:rsidRPr="008D0E66">
              <w:rPr>
                <w:rStyle w:val="Hyperlink"/>
                <w:bCs/>
                <w:noProof/>
                <w:webHidden/>
                <w:sz w:val="18"/>
                <w:szCs w:val="16"/>
              </w:rPr>
              <w:fldChar w:fldCharType="begin"/>
            </w:r>
            <w:r w:rsidR="007F50DB" w:rsidRPr="008D0E66">
              <w:rPr>
                <w:rStyle w:val="Hyperlink"/>
                <w:bCs/>
                <w:noProof/>
                <w:webHidden/>
                <w:sz w:val="18"/>
                <w:szCs w:val="16"/>
              </w:rPr>
              <w:instrText xml:space="preserve"> PAGEREF _Toc87526342 \h </w:instrText>
            </w:r>
            <w:r w:rsidR="007F50DB" w:rsidRPr="008D0E66">
              <w:rPr>
                <w:rStyle w:val="Hyperlink"/>
                <w:bCs/>
                <w:noProof/>
                <w:webHidden/>
                <w:sz w:val="18"/>
                <w:szCs w:val="16"/>
              </w:rPr>
            </w:r>
            <w:r w:rsidR="007F50DB" w:rsidRPr="008D0E66">
              <w:rPr>
                <w:rStyle w:val="Hyperlink"/>
                <w:bCs/>
                <w:noProof/>
                <w:webHidden/>
                <w:sz w:val="18"/>
                <w:szCs w:val="16"/>
              </w:rPr>
              <w:fldChar w:fldCharType="separate"/>
            </w:r>
            <w:r w:rsidR="00A21379">
              <w:rPr>
                <w:rStyle w:val="Hyperlink"/>
                <w:bCs/>
                <w:noProof/>
                <w:webHidden/>
                <w:sz w:val="18"/>
                <w:szCs w:val="16"/>
              </w:rPr>
              <w:t>71</w:t>
            </w:r>
            <w:r w:rsidR="007F50DB" w:rsidRPr="008D0E66">
              <w:rPr>
                <w:rStyle w:val="Hyperlink"/>
                <w:bCs/>
                <w:noProof/>
                <w:webHidden/>
                <w:sz w:val="18"/>
                <w:szCs w:val="16"/>
              </w:rPr>
              <w:fldChar w:fldCharType="end"/>
            </w:r>
          </w:hyperlink>
        </w:p>
        <w:p w14:paraId="17C1A5F5" w14:textId="75A94B16" w:rsidR="007F50DB" w:rsidRPr="008D0E66" w:rsidRDefault="007F68BB" w:rsidP="008D0E66">
          <w:pPr>
            <w:pStyle w:val="TOC3"/>
            <w:tabs>
              <w:tab w:val="right" w:leader="dot" w:pos="10188"/>
            </w:tabs>
            <w:ind w:left="720"/>
            <w:rPr>
              <w:rStyle w:val="Hyperlink"/>
              <w:bCs/>
              <w:noProof/>
              <w:sz w:val="18"/>
              <w:szCs w:val="16"/>
            </w:rPr>
          </w:pPr>
          <w:hyperlink w:anchor="_Toc87526343" w:history="1">
            <w:r w:rsidR="007F50DB" w:rsidRPr="008D0E66">
              <w:rPr>
                <w:rStyle w:val="Hyperlink"/>
                <w:bCs/>
                <w:noProof/>
                <w:sz w:val="18"/>
                <w:szCs w:val="16"/>
              </w:rPr>
              <w:t xml:space="preserve">Finding </w:t>
            </w:r>
            <w:r w:rsidR="0098428F">
              <w:rPr>
                <w:rStyle w:val="Hyperlink"/>
                <w:bCs/>
                <w:noProof/>
                <w:sz w:val="18"/>
                <w:szCs w:val="16"/>
              </w:rPr>
              <w:t>c</w:t>
            </w:r>
            <w:r w:rsidR="007F50DB" w:rsidRPr="008D0E66">
              <w:rPr>
                <w:rStyle w:val="Hyperlink"/>
                <w:bCs/>
                <w:noProof/>
                <w:sz w:val="18"/>
                <w:szCs w:val="16"/>
              </w:rPr>
              <w:t>onnections</w:t>
            </w:r>
            <w:r w:rsidR="007F50DB" w:rsidRPr="008D0E66">
              <w:rPr>
                <w:rStyle w:val="Hyperlink"/>
                <w:bCs/>
                <w:noProof/>
                <w:webHidden/>
                <w:sz w:val="18"/>
                <w:szCs w:val="16"/>
              </w:rPr>
              <w:tab/>
            </w:r>
            <w:r w:rsidR="007F50DB" w:rsidRPr="008D0E66">
              <w:rPr>
                <w:rStyle w:val="Hyperlink"/>
                <w:bCs/>
                <w:noProof/>
                <w:webHidden/>
                <w:sz w:val="18"/>
                <w:szCs w:val="16"/>
              </w:rPr>
              <w:fldChar w:fldCharType="begin"/>
            </w:r>
            <w:r w:rsidR="007F50DB" w:rsidRPr="008D0E66">
              <w:rPr>
                <w:rStyle w:val="Hyperlink"/>
                <w:bCs/>
                <w:noProof/>
                <w:webHidden/>
                <w:sz w:val="18"/>
                <w:szCs w:val="16"/>
              </w:rPr>
              <w:instrText xml:space="preserve"> PAGEREF _Toc87526343 \h </w:instrText>
            </w:r>
            <w:r w:rsidR="007F50DB" w:rsidRPr="008D0E66">
              <w:rPr>
                <w:rStyle w:val="Hyperlink"/>
                <w:bCs/>
                <w:noProof/>
                <w:webHidden/>
                <w:sz w:val="18"/>
                <w:szCs w:val="16"/>
              </w:rPr>
            </w:r>
            <w:r w:rsidR="007F50DB" w:rsidRPr="008D0E66">
              <w:rPr>
                <w:rStyle w:val="Hyperlink"/>
                <w:bCs/>
                <w:noProof/>
                <w:webHidden/>
                <w:sz w:val="18"/>
                <w:szCs w:val="16"/>
              </w:rPr>
              <w:fldChar w:fldCharType="separate"/>
            </w:r>
            <w:r w:rsidR="00A21379">
              <w:rPr>
                <w:rStyle w:val="Hyperlink"/>
                <w:bCs/>
                <w:noProof/>
                <w:webHidden/>
                <w:sz w:val="18"/>
                <w:szCs w:val="16"/>
              </w:rPr>
              <w:t>72</w:t>
            </w:r>
            <w:r w:rsidR="007F50DB" w:rsidRPr="008D0E66">
              <w:rPr>
                <w:rStyle w:val="Hyperlink"/>
                <w:bCs/>
                <w:noProof/>
                <w:webHidden/>
                <w:sz w:val="18"/>
                <w:szCs w:val="16"/>
              </w:rPr>
              <w:fldChar w:fldCharType="end"/>
            </w:r>
          </w:hyperlink>
        </w:p>
        <w:p w14:paraId="7B086597" w14:textId="2FF73EE0" w:rsidR="007F50DB" w:rsidRPr="008D0E66" w:rsidRDefault="007F68BB" w:rsidP="008D0E66">
          <w:pPr>
            <w:pStyle w:val="TOC3"/>
            <w:tabs>
              <w:tab w:val="right" w:leader="dot" w:pos="10188"/>
            </w:tabs>
            <w:ind w:left="720"/>
            <w:rPr>
              <w:rStyle w:val="Hyperlink"/>
              <w:bCs/>
              <w:noProof/>
              <w:sz w:val="18"/>
              <w:szCs w:val="16"/>
            </w:rPr>
          </w:pPr>
          <w:hyperlink w:anchor="_Toc87526344" w:history="1">
            <w:r w:rsidR="007F50DB" w:rsidRPr="008D0E66">
              <w:rPr>
                <w:rStyle w:val="Hyperlink"/>
                <w:bCs/>
                <w:noProof/>
                <w:sz w:val="18"/>
                <w:szCs w:val="16"/>
              </w:rPr>
              <w:t>Opposing actions to resistance</w:t>
            </w:r>
            <w:r w:rsidR="007F50DB" w:rsidRPr="008D0E66">
              <w:rPr>
                <w:rStyle w:val="Hyperlink"/>
                <w:bCs/>
                <w:noProof/>
                <w:webHidden/>
                <w:sz w:val="18"/>
                <w:szCs w:val="16"/>
              </w:rPr>
              <w:tab/>
            </w:r>
            <w:r w:rsidR="007F50DB" w:rsidRPr="008D0E66">
              <w:rPr>
                <w:rStyle w:val="Hyperlink"/>
                <w:bCs/>
                <w:noProof/>
                <w:webHidden/>
                <w:sz w:val="18"/>
                <w:szCs w:val="16"/>
              </w:rPr>
              <w:fldChar w:fldCharType="begin"/>
            </w:r>
            <w:r w:rsidR="007F50DB" w:rsidRPr="008D0E66">
              <w:rPr>
                <w:rStyle w:val="Hyperlink"/>
                <w:bCs/>
                <w:noProof/>
                <w:webHidden/>
                <w:sz w:val="18"/>
                <w:szCs w:val="16"/>
              </w:rPr>
              <w:instrText xml:space="preserve"> PAGEREF _Toc87526344 \h </w:instrText>
            </w:r>
            <w:r w:rsidR="007F50DB" w:rsidRPr="008D0E66">
              <w:rPr>
                <w:rStyle w:val="Hyperlink"/>
                <w:bCs/>
                <w:noProof/>
                <w:webHidden/>
                <w:sz w:val="18"/>
                <w:szCs w:val="16"/>
              </w:rPr>
            </w:r>
            <w:r w:rsidR="007F50DB" w:rsidRPr="008D0E66">
              <w:rPr>
                <w:rStyle w:val="Hyperlink"/>
                <w:bCs/>
                <w:noProof/>
                <w:webHidden/>
                <w:sz w:val="18"/>
                <w:szCs w:val="16"/>
              </w:rPr>
              <w:fldChar w:fldCharType="separate"/>
            </w:r>
            <w:r w:rsidR="00A21379">
              <w:rPr>
                <w:rStyle w:val="Hyperlink"/>
                <w:bCs/>
                <w:noProof/>
                <w:webHidden/>
                <w:sz w:val="18"/>
                <w:szCs w:val="16"/>
              </w:rPr>
              <w:t>74</w:t>
            </w:r>
            <w:r w:rsidR="007F50DB" w:rsidRPr="008D0E66">
              <w:rPr>
                <w:rStyle w:val="Hyperlink"/>
                <w:bCs/>
                <w:noProof/>
                <w:webHidden/>
                <w:sz w:val="18"/>
                <w:szCs w:val="16"/>
              </w:rPr>
              <w:fldChar w:fldCharType="end"/>
            </w:r>
          </w:hyperlink>
        </w:p>
        <w:p w14:paraId="0C2E5DE6" w14:textId="51DF267B" w:rsidR="007F50DB" w:rsidRDefault="007F68BB">
          <w:pPr>
            <w:pStyle w:val="TOC1"/>
            <w:tabs>
              <w:tab w:val="right" w:leader="dot" w:pos="10188"/>
            </w:tabs>
            <w:rPr>
              <w:rFonts w:asciiTheme="minorHAnsi" w:eastAsiaTheme="minorEastAsia" w:hAnsiTheme="minorHAnsi" w:cstheme="minorBidi"/>
              <w:b w:val="0"/>
              <w:noProof/>
              <w:sz w:val="22"/>
              <w:szCs w:val="22"/>
              <w:lang w:bidi="ar-SA"/>
            </w:rPr>
          </w:pPr>
          <w:hyperlink w:anchor="_Toc87526345" w:history="1">
            <w:r w:rsidR="007F50DB" w:rsidRPr="000B5848">
              <w:rPr>
                <w:rStyle w:val="Hyperlink"/>
                <w:noProof/>
              </w:rPr>
              <w:t>Part 6 - Future opportunities</w:t>
            </w:r>
            <w:r w:rsidR="007F50DB">
              <w:rPr>
                <w:noProof/>
                <w:webHidden/>
              </w:rPr>
              <w:tab/>
            </w:r>
            <w:r w:rsidR="007F50DB">
              <w:rPr>
                <w:noProof/>
                <w:webHidden/>
              </w:rPr>
              <w:fldChar w:fldCharType="begin"/>
            </w:r>
            <w:r w:rsidR="007F50DB">
              <w:rPr>
                <w:noProof/>
                <w:webHidden/>
              </w:rPr>
              <w:instrText xml:space="preserve"> PAGEREF _Toc87526345 \h </w:instrText>
            </w:r>
            <w:r w:rsidR="007F50DB">
              <w:rPr>
                <w:noProof/>
                <w:webHidden/>
              </w:rPr>
            </w:r>
            <w:r w:rsidR="007F50DB">
              <w:rPr>
                <w:noProof/>
                <w:webHidden/>
              </w:rPr>
              <w:fldChar w:fldCharType="separate"/>
            </w:r>
            <w:r w:rsidR="00A21379">
              <w:rPr>
                <w:noProof/>
                <w:webHidden/>
              </w:rPr>
              <w:t>76</w:t>
            </w:r>
            <w:r w:rsidR="007F50DB">
              <w:rPr>
                <w:noProof/>
                <w:webHidden/>
              </w:rPr>
              <w:fldChar w:fldCharType="end"/>
            </w:r>
          </w:hyperlink>
        </w:p>
        <w:p w14:paraId="69D506C3" w14:textId="7C511A43" w:rsidR="007F50DB" w:rsidRDefault="007F68BB">
          <w:pPr>
            <w:pStyle w:val="TOC1"/>
            <w:tabs>
              <w:tab w:val="right" w:leader="dot" w:pos="10188"/>
            </w:tabs>
            <w:rPr>
              <w:rFonts w:asciiTheme="minorHAnsi" w:eastAsiaTheme="minorEastAsia" w:hAnsiTheme="minorHAnsi" w:cstheme="minorBidi"/>
              <w:b w:val="0"/>
              <w:noProof/>
              <w:sz w:val="22"/>
              <w:szCs w:val="22"/>
              <w:lang w:bidi="ar-SA"/>
            </w:rPr>
          </w:pPr>
          <w:hyperlink w:anchor="_Toc87526346" w:history="1">
            <w:r w:rsidR="007F50DB" w:rsidRPr="000B5848">
              <w:rPr>
                <w:rStyle w:val="Hyperlink"/>
                <w:noProof/>
              </w:rPr>
              <w:t>References</w:t>
            </w:r>
            <w:r w:rsidR="007F50DB">
              <w:rPr>
                <w:noProof/>
                <w:webHidden/>
              </w:rPr>
              <w:tab/>
            </w:r>
            <w:r w:rsidR="007F50DB">
              <w:rPr>
                <w:noProof/>
                <w:webHidden/>
              </w:rPr>
              <w:fldChar w:fldCharType="begin"/>
            </w:r>
            <w:r w:rsidR="007F50DB">
              <w:rPr>
                <w:noProof/>
                <w:webHidden/>
              </w:rPr>
              <w:instrText xml:space="preserve"> PAGEREF _Toc87526346 \h </w:instrText>
            </w:r>
            <w:r w:rsidR="007F50DB">
              <w:rPr>
                <w:noProof/>
                <w:webHidden/>
              </w:rPr>
            </w:r>
            <w:r w:rsidR="007F50DB">
              <w:rPr>
                <w:noProof/>
                <w:webHidden/>
              </w:rPr>
              <w:fldChar w:fldCharType="separate"/>
            </w:r>
            <w:r w:rsidR="00A21379">
              <w:rPr>
                <w:noProof/>
                <w:webHidden/>
              </w:rPr>
              <w:t>79</w:t>
            </w:r>
            <w:r w:rsidR="007F50DB">
              <w:rPr>
                <w:noProof/>
                <w:webHidden/>
              </w:rPr>
              <w:fldChar w:fldCharType="end"/>
            </w:r>
          </w:hyperlink>
        </w:p>
        <w:p w14:paraId="424B2AEC" w14:textId="3F0EEF52" w:rsidR="00CE6FDB" w:rsidRDefault="00CE6FDB">
          <w:r>
            <w:rPr>
              <w:b/>
              <w:bCs/>
              <w:noProof/>
            </w:rPr>
            <w:fldChar w:fldCharType="end"/>
          </w:r>
        </w:p>
      </w:sdtContent>
    </w:sdt>
    <w:p w14:paraId="1F077DAB" w14:textId="77777777" w:rsidR="003820C5" w:rsidRDefault="00345D31" w:rsidP="00345D31">
      <w:r>
        <w:br w:type="page"/>
      </w:r>
    </w:p>
    <w:p w14:paraId="75E33963" w14:textId="0CA20BD7" w:rsidR="00345D31" w:rsidRPr="00345D31" w:rsidRDefault="00345D31" w:rsidP="008E06F4">
      <w:pPr>
        <w:pStyle w:val="TOCHeading"/>
        <w:rPr>
          <w:rFonts w:ascii="Corbel" w:hAnsi="Corbel"/>
        </w:rPr>
      </w:pPr>
      <w:r w:rsidRPr="00EB4F29">
        <w:lastRenderedPageBreak/>
        <w:t>List of Figures</w:t>
      </w:r>
    </w:p>
    <w:p w14:paraId="48F6D071" w14:textId="3ACE5625" w:rsidR="00E67620" w:rsidRDefault="00345D31">
      <w:pPr>
        <w:pStyle w:val="TableofFigures"/>
        <w:tabs>
          <w:tab w:val="right" w:leader="dot" w:pos="10188"/>
        </w:tabs>
        <w:rPr>
          <w:rFonts w:asciiTheme="minorHAnsi" w:eastAsiaTheme="minorEastAsia" w:hAnsiTheme="minorHAnsi"/>
          <w:noProof/>
          <w:szCs w:val="22"/>
          <w:lang w:eastAsia="en-AU"/>
        </w:rPr>
      </w:pPr>
      <w:r w:rsidRPr="0027546A">
        <w:rPr>
          <w:color w:val="000000" w:themeColor="text1"/>
          <w:sz w:val="24"/>
          <w:shd w:val="clear" w:color="auto" w:fill="E6E6E6"/>
        </w:rPr>
        <w:fldChar w:fldCharType="begin"/>
      </w:r>
      <w:r w:rsidRPr="0027546A">
        <w:rPr>
          <w:color w:val="000000" w:themeColor="text1"/>
          <w:sz w:val="24"/>
        </w:rPr>
        <w:instrText xml:space="preserve"> TOC \c "Figure" </w:instrText>
      </w:r>
      <w:r w:rsidRPr="0027546A">
        <w:rPr>
          <w:color w:val="000000" w:themeColor="text1"/>
          <w:sz w:val="24"/>
          <w:shd w:val="clear" w:color="auto" w:fill="E6E6E6"/>
        </w:rPr>
        <w:fldChar w:fldCharType="separate"/>
      </w:r>
      <w:r w:rsidR="00E67620" w:rsidRPr="00561B4C">
        <w:rPr>
          <w:noProof/>
          <w:color w:val="F79646" w:themeColor="accent6"/>
          <w:lang w:bidi="en-AU"/>
        </w:rPr>
        <w:t>Figure 1 The interactions between gendered drivers of violence against women and the reinforcing factors (Our Watch 2015)</w:t>
      </w:r>
      <w:r w:rsidR="00E67620">
        <w:rPr>
          <w:noProof/>
        </w:rPr>
        <w:tab/>
      </w:r>
      <w:r w:rsidR="00E67620">
        <w:rPr>
          <w:noProof/>
        </w:rPr>
        <w:fldChar w:fldCharType="begin"/>
      </w:r>
      <w:r w:rsidR="00E67620">
        <w:rPr>
          <w:noProof/>
        </w:rPr>
        <w:instrText xml:space="preserve"> PAGEREF _Toc94771644 \h </w:instrText>
      </w:r>
      <w:r w:rsidR="00E67620">
        <w:rPr>
          <w:noProof/>
        </w:rPr>
      </w:r>
      <w:r w:rsidR="00E67620">
        <w:rPr>
          <w:noProof/>
        </w:rPr>
        <w:fldChar w:fldCharType="separate"/>
      </w:r>
      <w:r w:rsidR="00D93EBF">
        <w:rPr>
          <w:noProof/>
        </w:rPr>
        <w:t>5</w:t>
      </w:r>
      <w:r w:rsidR="00E67620">
        <w:rPr>
          <w:noProof/>
        </w:rPr>
        <w:fldChar w:fldCharType="end"/>
      </w:r>
    </w:p>
    <w:p w14:paraId="3FA7506C" w14:textId="30BCD939" w:rsidR="00E67620" w:rsidRDefault="00E67620">
      <w:pPr>
        <w:pStyle w:val="TableofFigures"/>
        <w:tabs>
          <w:tab w:val="right" w:leader="dot" w:pos="10188"/>
        </w:tabs>
        <w:rPr>
          <w:rFonts w:asciiTheme="minorHAnsi" w:eastAsiaTheme="minorEastAsia" w:hAnsiTheme="minorHAnsi"/>
          <w:noProof/>
          <w:szCs w:val="22"/>
          <w:lang w:eastAsia="en-AU"/>
        </w:rPr>
      </w:pPr>
      <w:r w:rsidRPr="00561B4C">
        <w:rPr>
          <w:noProof/>
          <w:color w:val="F79646" w:themeColor="accent6"/>
          <w:lang w:bidi="en-AU"/>
        </w:rPr>
        <w:t>Figure 2: Forms of Resistance (Vic Health, 2018)</w:t>
      </w:r>
      <w:r>
        <w:rPr>
          <w:noProof/>
        </w:rPr>
        <w:tab/>
      </w:r>
      <w:r>
        <w:rPr>
          <w:noProof/>
        </w:rPr>
        <w:fldChar w:fldCharType="begin"/>
      </w:r>
      <w:r>
        <w:rPr>
          <w:noProof/>
        </w:rPr>
        <w:instrText xml:space="preserve"> PAGEREF _Toc94771645 \h </w:instrText>
      </w:r>
      <w:r>
        <w:rPr>
          <w:noProof/>
        </w:rPr>
      </w:r>
      <w:r>
        <w:rPr>
          <w:noProof/>
        </w:rPr>
        <w:fldChar w:fldCharType="separate"/>
      </w:r>
      <w:r w:rsidR="00D93EBF">
        <w:rPr>
          <w:noProof/>
        </w:rPr>
        <w:t>2</w:t>
      </w:r>
      <w:r>
        <w:rPr>
          <w:noProof/>
        </w:rPr>
        <w:fldChar w:fldCharType="end"/>
      </w:r>
      <w:r w:rsidR="007E4EF0">
        <w:rPr>
          <w:noProof/>
        </w:rPr>
        <w:t>4</w:t>
      </w:r>
    </w:p>
    <w:p w14:paraId="10C5231E" w14:textId="350E9617" w:rsidR="00E67620" w:rsidRDefault="00E67620">
      <w:pPr>
        <w:pStyle w:val="TableofFigures"/>
        <w:tabs>
          <w:tab w:val="right" w:leader="dot" w:pos="10188"/>
        </w:tabs>
        <w:rPr>
          <w:rFonts w:asciiTheme="minorHAnsi" w:eastAsiaTheme="minorEastAsia" w:hAnsiTheme="minorHAnsi"/>
          <w:noProof/>
          <w:szCs w:val="22"/>
          <w:lang w:eastAsia="en-AU"/>
        </w:rPr>
      </w:pPr>
      <w:r w:rsidRPr="00561B4C">
        <w:rPr>
          <w:noProof/>
          <w:color w:val="F79646" w:themeColor="accent6"/>
          <w:lang w:bidi="en-AU"/>
        </w:rPr>
        <w:t>Figure 3. Spectrum of approaches</w:t>
      </w:r>
      <w:r>
        <w:rPr>
          <w:noProof/>
        </w:rPr>
        <w:tab/>
      </w:r>
      <w:r>
        <w:rPr>
          <w:noProof/>
        </w:rPr>
        <w:fldChar w:fldCharType="begin"/>
      </w:r>
      <w:r>
        <w:rPr>
          <w:noProof/>
        </w:rPr>
        <w:instrText xml:space="preserve"> PAGEREF _Toc94771646 \h </w:instrText>
      </w:r>
      <w:r>
        <w:rPr>
          <w:noProof/>
        </w:rPr>
      </w:r>
      <w:r>
        <w:rPr>
          <w:noProof/>
        </w:rPr>
        <w:fldChar w:fldCharType="separate"/>
      </w:r>
      <w:r w:rsidR="00D93EBF">
        <w:rPr>
          <w:noProof/>
        </w:rPr>
        <w:t>5</w:t>
      </w:r>
      <w:r>
        <w:rPr>
          <w:noProof/>
        </w:rPr>
        <w:fldChar w:fldCharType="end"/>
      </w:r>
      <w:r w:rsidR="00127267">
        <w:rPr>
          <w:noProof/>
        </w:rPr>
        <w:t>1</w:t>
      </w:r>
    </w:p>
    <w:p w14:paraId="75E0EE3E" w14:textId="2F7FF41C" w:rsidR="00E67620" w:rsidRDefault="00E67620">
      <w:pPr>
        <w:pStyle w:val="TableofFigures"/>
        <w:tabs>
          <w:tab w:val="right" w:leader="dot" w:pos="10188"/>
        </w:tabs>
        <w:rPr>
          <w:rFonts w:asciiTheme="minorHAnsi" w:eastAsiaTheme="minorEastAsia" w:hAnsiTheme="minorHAnsi"/>
          <w:noProof/>
          <w:szCs w:val="22"/>
          <w:lang w:eastAsia="en-AU"/>
        </w:rPr>
      </w:pPr>
      <w:r w:rsidRPr="00561B4C">
        <w:rPr>
          <w:noProof/>
          <w:color w:val="F79646" w:themeColor="accent6"/>
          <w:lang w:bidi="en-AU"/>
        </w:rPr>
        <w:t>Figure 4. Themes of institutional change and resistance</w:t>
      </w:r>
      <w:r>
        <w:rPr>
          <w:noProof/>
        </w:rPr>
        <w:tab/>
      </w:r>
      <w:r>
        <w:rPr>
          <w:noProof/>
        </w:rPr>
        <w:fldChar w:fldCharType="begin"/>
      </w:r>
      <w:r>
        <w:rPr>
          <w:noProof/>
        </w:rPr>
        <w:instrText xml:space="preserve"> PAGEREF _Toc94771647 \h </w:instrText>
      </w:r>
      <w:r>
        <w:rPr>
          <w:noProof/>
        </w:rPr>
      </w:r>
      <w:r>
        <w:rPr>
          <w:noProof/>
        </w:rPr>
        <w:fldChar w:fldCharType="separate"/>
      </w:r>
      <w:r w:rsidR="00D93EBF">
        <w:rPr>
          <w:noProof/>
        </w:rPr>
        <w:t>5</w:t>
      </w:r>
      <w:r>
        <w:rPr>
          <w:noProof/>
        </w:rPr>
        <w:fldChar w:fldCharType="end"/>
      </w:r>
      <w:r w:rsidR="00127267">
        <w:rPr>
          <w:noProof/>
        </w:rPr>
        <w:t>4</w:t>
      </w:r>
    </w:p>
    <w:p w14:paraId="5120B124" w14:textId="437F38D8" w:rsidR="00E67620" w:rsidRDefault="00E67620">
      <w:pPr>
        <w:pStyle w:val="TableofFigures"/>
        <w:tabs>
          <w:tab w:val="right" w:leader="dot" w:pos="10188"/>
        </w:tabs>
        <w:rPr>
          <w:rFonts w:asciiTheme="minorHAnsi" w:eastAsiaTheme="minorEastAsia" w:hAnsiTheme="minorHAnsi"/>
          <w:noProof/>
          <w:szCs w:val="22"/>
          <w:lang w:eastAsia="en-AU"/>
        </w:rPr>
      </w:pPr>
      <w:r w:rsidRPr="00561B4C">
        <w:rPr>
          <w:noProof/>
          <w:color w:val="F79646" w:themeColor="accent6"/>
          <w:lang w:bidi="en-AU"/>
        </w:rPr>
        <w:t>Figure 5 Stakeholder mapping matrix</w:t>
      </w:r>
      <w:r>
        <w:rPr>
          <w:noProof/>
        </w:rPr>
        <w:tab/>
      </w:r>
      <w:r>
        <w:rPr>
          <w:noProof/>
        </w:rPr>
        <w:fldChar w:fldCharType="begin"/>
      </w:r>
      <w:r>
        <w:rPr>
          <w:noProof/>
        </w:rPr>
        <w:instrText xml:space="preserve"> PAGEREF _Toc94771648 \h </w:instrText>
      </w:r>
      <w:r>
        <w:rPr>
          <w:noProof/>
        </w:rPr>
      </w:r>
      <w:r>
        <w:rPr>
          <w:noProof/>
        </w:rPr>
        <w:fldChar w:fldCharType="separate"/>
      </w:r>
      <w:r w:rsidR="00D93EBF">
        <w:rPr>
          <w:noProof/>
        </w:rPr>
        <w:t>5</w:t>
      </w:r>
      <w:r>
        <w:rPr>
          <w:noProof/>
        </w:rPr>
        <w:fldChar w:fldCharType="end"/>
      </w:r>
      <w:r w:rsidR="00127267">
        <w:rPr>
          <w:noProof/>
        </w:rPr>
        <w:t>8</w:t>
      </w:r>
    </w:p>
    <w:p w14:paraId="6E388C37" w14:textId="63D49B16" w:rsidR="00E67620" w:rsidRDefault="00E67620">
      <w:pPr>
        <w:pStyle w:val="TableofFigures"/>
        <w:tabs>
          <w:tab w:val="right" w:leader="dot" w:pos="10188"/>
        </w:tabs>
        <w:rPr>
          <w:rFonts w:asciiTheme="minorHAnsi" w:eastAsiaTheme="minorEastAsia" w:hAnsiTheme="minorHAnsi"/>
          <w:noProof/>
          <w:szCs w:val="22"/>
          <w:lang w:eastAsia="en-AU"/>
        </w:rPr>
      </w:pPr>
      <w:r w:rsidRPr="00561B4C">
        <w:rPr>
          <w:noProof/>
          <w:color w:val="F79646" w:themeColor="accent6"/>
          <w:lang w:bidi="en-AU"/>
        </w:rPr>
        <w:t>Figure 6: Leadership Shadow Model</w:t>
      </w:r>
      <w:r>
        <w:rPr>
          <w:noProof/>
        </w:rPr>
        <w:tab/>
      </w:r>
      <w:r>
        <w:rPr>
          <w:noProof/>
        </w:rPr>
        <w:fldChar w:fldCharType="begin"/>
      </w:r>
      <w:r>
        <w:rPr>
          <w:noProof/>
        </w:rPr>
        <w:instrText xml:space="preserve"> PAGEREF _Toc94771649 \h </w:instrText>
      </w:r>
      <w:r>
        <w:rPr>
          <w:noProof/>
        </w:rPr>
      </w:r>
      <w:r>
        <w:rPr>
          <w:noProof/>
        </w:rPr>
        <w:fldChar w:fldCharType="separate"/>
      </w:r>
      <w:r w:rsidR="00D93EBF">
        <w:rPr>
          <w:noProof/>
        </w:rPr>
        <w:t>5</w:t>
      </w:r>
      <w:r>
        <w:rPr>
          <w:noProof/>
        </w:rPr>
        <w:fldChar w:fldCharType="end"/>
      </w:r>
      <w:r w:rsidR="00127267">
        <w:rPr>
          <w:noProof/>
        </w:rPr>
        <w:t>9</w:t>
      </w:r>
    </w:p>
    <w:p w14:paraId="0A680787" w14:textId="4BA15B04" w:rsidR="00E67620" w:rsidRDefault="00E67620">
      <w:pPr>
        <w:pStyle w:val="TableofFigures"/>
        <w:tabs>
          <w:tab w:val="right" w:leader="dot" w:pos="10188"/>
        </w:tabs>
        <w:rPr>
          <w:rFonts w:asciiTheme="minorHAnsi" w:eastAsiaTheme="minorEastAsia" w:hAnsiTheme="minorHAnsi"/>
          <w:noProof/>
          <w:szCs w:val="22"/>
          <w:lang w:eastAsia="en-AU"/>
        </w:rPr>
      </w:pPr>
      <w:r w:rsidRPr="00561B4C">
        <w:rPr>
          <w:noProof/>
          <w:color w:val="F79646" w:themeColor="accent6"/>
          <w:lang w:bidi="en-AU"/>
        </w:rPr>
        <w:t>Figure 7: The spectrum of resistance (Vic Health 2018, p.6)</w:t>
      </w:r>
      <w:r>
        <w:rPr>
          <w:noProof/>
        </w:rPr>
        <w:tab/>
      </w:r>
      <w:r>
        <w:rPr>
          <w:noProof/>
        </w:rPr>
        <w:fldChar w:fldCharType="begin"/>
      </w:r>
      <w:r>
        <w:rPr>
          <w:noProof/>
        </w:rPr>
        <w:instrText xml:space="preserve"> PAGEREF _Toc94771650 \h </w:instrText>
      </w:r>
      <w:r>
        <w:rPr>
          <w:noProof/>
        </w:rPr>
      </w:r>
      <w:r>
        <w:rPr>
          <w:noProof/>
        </w:rPr>
        <w:fldChar w:fldCharType="separate"/>
      </w:r>
      <w:r w:rsidR="00D93EBF">
        <w:rPr>
          <w:noProof/>
        </w:rPr>
        <w:t>6</w:t>
      </w:r>
      <w:r>
        <w:rPr>
          <w:noProof/>
        </w:rPr>
        <w:fldChar w:fldCharType="end"/>
      </w:r>
      <w:r w:rsidR="00127267">
        <w:rPr>
          <w:noProof/>
        </w:rPr>
        <w:t>7</w:t>
      </w:r>
    </w:p>
    <w:p w14:paraId="15B466E4" w14:textId="53F58F19" w:rsidR="00345D31" w:rsidRPr="0027546A" w:rsidRDefault="00345D31" w:rsidP="00345D31">
      <w:pPr>
        <w:rPr>
          <w:color w:val="000000" w:themeColor="text1"/>
        </w:rPr>
      </w:pPr>
      <w:r w:rsidRPr="0027546A">
        <w:rPr>
          <w:color w:val="000000" w:themeColor="text1"/>
          <w:shd w:val="clear" w:color="auto" w:fill="E6E6E6"/>
        </w:rPr>
        <w:fldChar w:fldCharType="end"/>
      </w:r>
    </w:p>
    <w:p w14:paraId="44DBEBB4" w14:textId="77777777" w:rsidR="00345D31" w:rsidRPr="00437FB5" w:rsidRDefault="00345D31" w:rsidP="00345D31"/>
    <w:p w14:paraId="25F55CFE" w14:textId="18764782" w:rsidR="00345D31" w:rsidRPr="00345D31" w:rsidRDefault="00345D31" w:rsidP="008E06F4">
      <w:pPr>
        <w:pStyle w:val="TOCHeading"/>
        <w:rPr>
          <w:rFonts w:ascii="Corbel" w:hAnsi="Corbel"/>
        </w:rPr>
      </w:pPr>
      <w:r w:rsidRPr="00EB4F29">
        <w:t>List of Highlight Box</w:t>
      </w:r>
      <w:r>
        <w:t>e</w:t>
      </w:r>
      <w:r w:rsidRPr="00EB4F29">
        <w:t>s</w:t>
      </w:r>
    </w:p>
    <w:p w14:paraId="50FD4780" w14:textId="52F81F6B" w:rsidR="00345D31" w:rsidRDefault="00345D31" w:rsidP="00345D31">
      <w:pPr>
        <w:pStyle w:val="TableofFigures"/>
        <w:tabs>
          <w:tab w:val="right" w:leader="dot" w:pos="9016"/>
        </w:tabs>
        <w:rPr>
          <w:rFonts w:asciiTheme="minorHAnsi" w:eastAsiaTheme="minorEastAsia" w:hAnsiTheme="minorHAnsi"/>
          <w:noProof/>
          <w:sz w:val="24"/>
          <w:lang w:eastAsia="en-GB"/>
        </w:rPr>
      </w:pPr>
      <w:r w:rsidRPr="00EC05BD">
        <w:rPr>
          <w:color w:val="2B579A"/>
          <w:szCs w:val="22"/>
          <w:shd w:val="clear" w:color="auto" w:fill="E6E6E6"/>
        </w:rPr>
        <w:fldChar w:fldCharType="begin"/>
      </w:r>
      <w:r w:rsidRPr="00EC05BD">
        <w:rPr>
          <w:szCs w:val="22"/>
        </w:rPr>
        <w:instrText xml:space="preserve"> TOC \h \z \c "Highlight Box" </w:instrText>
      </w:r>
      <w:r w:rsidRPr="00EC05BD">
        <w:rPr>
          <w:color w:val="2B579A"/>
          <w:szCs w:val="22"/>
          <w:shd w:val="clear" w:color="auto" w:fill="E6E6E6"/>
        </w:rPr>
        <w:fldChar w:fldCharType="separate"/>
      </w:r>
      <w:hyperlink w:anchor="_Toc75940824" w:history="1">
        <w:r w:rsidRPr="009C497D">
          <w:rPr>
            <w:rStyle w:val="Hyperlink"/>
            <w:noProof/>
          </w:rPr>
          <w:t>Highlight Box 1: Not all men</w:t>
        </w:r>
        <w:r>
          <w:rPr>
            <w:noProof/>
            <w:webHidden/>
          </w:rPr>
          <w:tab/>
        </w:r>
        <w:r>
          <w:rPr>
            <w:noProof/>
            <w:webHidden/>
          </w:rPr>
          <w:fldChar w:fldCharType="begin"/>
        </w:r>
        <w:r>
          <w:rPr>
            <w:noProof/>
            <w:webHidden/>
          </w:rPr>
          <w:instrText xml:space="preserve"> PAGEREF _Toc75940824 \h </w:instrText>
        </w:r>
        <w:r>
          <w:rPr>
            <w:noProof/>
            <w:webHidden/>
          </w:rPr>
        </w:r>
        <w:r>
          <w:rPr>
            <w:noProof/>
            <w:webHidden/>
          </w:rPr>
          <w:fldChar w:fldCharType="separate"/>
        </w:r>
        <w:r w:rsidR="00D93EBF">
          <w:rPr>
            <w:noProof/>
            <w:webHidden/>
          </w:rPr>
          <w:t>3</w:t>
        </w:r>
        <w:r>
          <w:rPr>
            <w:noProof/>
            <w:webHidden/>
          </w:rPr>
          <w:fldChar w:fldCharType="end"/>
        </w:r>
      </w:hyperlink>
      <w:r w:rsidR="00127267">
        <w:rPr>
          <w:noProof/>
        </w:rPr>
        <w:t>3</w:t>
      </w:r>
    </w:p>
    <w:p w14:paraId="1FACE16E" w14:textId="36CDDBC9" w:rsidR="00345D31" w:rsidRDefault="007F68BB" w:rsidP="00345D31">
      <w:pPr>
        <w:pStyle w:val="TableofFigures"/>
        <w:tabs>
          <w:tab w:val="right" w:leader="dot" w:pos="9016"/>
        </w:tabs>
        <w:rPr>
          <w:rFonts w:asciiTheme="minorHAnsi" w:eastAsiaTheme="minorEastAsia" w:hAnsiTheme="minorHAnsi"/>
          <w:noProof/>
          <w:sz w:val="24"/>
          <w:lang w:eastAsia="en-GB"/>
        </w:rPr>
      </w:pPr>
      <w:hyperlink w:anchor="_Toc75940825" w:history="1">
        <w:r w:rsidR="00345D31" w:rsidRPr="009C497D">
          <w:rPr>
            <w:rStyle w:val="Hyperlink"/>
            <w:noProof/>
          </w:rPr>
          <w:t>Highlight Box 2: Falling short of meaningful action</w:t>
        </w:r>
        <w:r w:rsidR="00345D31">
          <w:rPr>
            <w:noProof/>
            <w:webHidden/>
          </w:rPr>
          <w:tab/>
        </w:r>
        <w:r w:rsidR="00345D31">
          <w:rPr>
            <w:noProof/>
            <w:webHidden/>
          </w:rPr>
          <w:fldChar w:fldCharType="begin"/>
        </w:r>
        <w:r w:rsidR="00345D31">
          <w:rPr>
            <w:noProof/>
            <w:webHidden/>
          </w:rPr>
          <w:instrText xml:space="preserve"> PAGEREF _Toc75940825 \h </w:instrText>
        </w:r>
        <w:r w:rsidR="00345D31">
          <w:rPr>
            <w:noProof/>
            <w:webHidden/>
          </w:rPr>
        </w:r>
        <w:r w:rsidR="00345D31">
          <w:rPr>
            <w:noProof/>
            <w:webHidden/>
          </w:rPr>
          <w:fldChar w:fldCharType="separate"/>
        </w:r>
        <w:r w:rsidR="00D93EBF">
          <w:rPr>
            <w:noProof/>
            <w:webHidden/>
          </w:rPr>
          <w:t>3</w:t>
        </w:r>
        <w:r w:rsidR="00345D31">
          <w:rPr>
            <w:noProof/>
            <w:webHidden/>
          </w:rPr>
          <w:fldChar w:fldCharType="end"/>
        </w:r>
      </w:hyperlink>
      <w:r w:rsidR="00127267">
        <w:rPr>
          <w:noProof/>
        </w:rPr>
        <w:t>6</w:t>
      </w:r>
    </w:p>
    <w:p w14:paraId="4650E9F7" w14:textId="3FA52EB8" w:rsidR="00345D31" w:rsidRDefault="007F68BB" w:rsidP="00345D31">
      <w:pPr>
        <w:pStyle w:val="TableofFigures"/>
        <w:tabs>
          <w:tab w:val="right" w:leader="dot" w:pos="9016"/>
        </w:tabs>
        <w:rPr>
          <w:rFonts w:asciiTheme="minorHAnsi" w:eastAsiaTheme="minorEastAsia" w:hAnsiTheme="minorHAnsi"/>
          <w:noProof/>
          <w:sz w:val="24"/>
          <w:lang w:eastAsia="en-GB"/>
        </w:rPr>
      </w:pPr>
      <w:hyperlink w:anchor="_Toc75940826" w:history="1">
        <w:r w:rsidR="00345D31" w:rsidRPr="009C497D">
          <w:rPr>
            <w:rStyle w:val="Hyperlink"/>
            <w:noProof/>
          </w:rPr>
          <w:t>Highlight Box 3: What about men? Men are victims too!</w:t>
        </w:r>
        <w:r w:rsidR="00345D31">
          <w:rPr>
            <w:noProof/>
            <w:webHidden/>
          </w:rPr>
          <w:tab/>
        </w:r>
        <w:r w:rsidR="00345D31">
          <w:rPr>
            <w:noProof/>
            <w:webHidden/>
          </w:rPr>
          <w:fldChar w:fldCharType="begin"/>
        </w:r>
        <w:r w:rsidR="00345D31">
          <w:rPr>
            <w:noProof/>
            <w:webHidden/>
          </w:rPr>
          <w:instrText xml:space="preserve"> PAGEREF _Toc75940826 \h </w:instrText>
        </w:r>
        <w:r w:rsidR="00345D31">
          <w:rPr>
            <w:noProof/>
            <w:webHidden/>
          </w:rPr>
        </w:r>
        <w:r w:rsidR="00345D31">
          <w:rPr>
            <w:noProof/>
            <w:webHidden/>
          </w:rPr>
          <w:fldChar w:fldCharType="separate"/>
        </w:r>
        <w:r w:rsidR="00D93EBF">
          <w:rPr>
            <w:noProof/>
            <w:webHidden/>
          </w:rPr>
          <w:t>4</w:t>
        </w:r>
        <w:r w:rsidR="00345D31">
          <w:rPr>
            <w:noProof/>
            <w:webHidden/>
          </w:rPr>
          <w:fldChar w:fldCharType="end"/>
        </w:r>
      </w:hyperlink>
      <w:r w:rsidR="00127267">
        <w:rPr>
          <w:noProof/>
        </w:rPr>
        <w:t>5</w:t>
      </w:r>
    </w:p>
    <w:p w14:paraId="292C7AA1" w14:textId="34B979F0" w:rsidR="00345D31" w:rsidRDefault="007F68BB" w:rsidP="00345D31">
      <w:pPr>
        <w:pStyle w:val="TableofFigures"/>
        <w:tabs>
          <w:tab w:val="right" w:leader="dot" w:pos="9016"/>
        </w:tabs>
        <w:rPr>
          <w:rFonts w:asciiTheme="minorHAnsi" w:eastAsiaTheme="minorEastAsia" w:hAnsiTheme="minorHAnsi"/>
          <w:noProof/>
          <w:sz w:val="24"/>
          <w:lang w:eastAsia="en-GB"/>
        </w:rPr>
      </w:pPr>
      <w:hyperlink w:anchor="_Toc75940827" w:history="1">
        <w:r w:rsidR="00345D31" w:rsidRPr="009C497D">
          <w:rPr>
            <w:rStyle w:val="Hyperlink"/>
            <w:noProof/>
          </w:rPr>
          <w:t>Highlight Box 4: Our Watch Workplace Equality and Respect (WER) tools and resources</w:t>
        </w:r>
        <w:r w:rsidR="00345D31">
          <w:rPr>
            <w:noProof/>
            <w:webHidden/>
          </w:rPr>
          <w:tab/>
        </w:r>
        <w:r w:rsidR="00345D31">
          <w:rPr>
            <w:noProof/>
            <w:webHidden/>
          </w:rPr>
          <w:fldChar w:fldCharType="begin"/>
        </w:r>
        <w:r w:rsidR="00345D31">
          <w:rPr>
            <w:noProof/>
            <w:webHidden/>
          </w:rPr>
          <w:instrText xml:space="preserve"> PAGEREF _Toc75940827 \h </w:instrText>
        </w:r>
        <w:r w:rsidR="00345D31">
          <w:rPr>
            <w:noProof/>
            <w:webHidden/>
          </w:rPr>
        </w:r>
        <w:r w:rsidR="00345D31">
          <w:rPr>
            <w:noProof/>
            <w:webHidden/>
          </w:rPr>
          <w:fldChar w:fldCharType="separate"/>
        </w:r>
        <w:r w:rsidR="00D93EBF">
          <w:rPr>
            <w:noProof/>
            <w:webHidden/>
          </w:rPr>
          <w:t>6</w:t>
        </w:r>
        <w:r w:rsidR="00345D31">
          <w:rPr>
            <w:noProof/>
            <w:webHidden/>
          </w:rPr>
          <w:fldChar w:fldCharType="end"/>
        </w:r>
      </w:hyperlink>
      <w:r w:rsidR="00127267">
        <w:rPr>
          <w:noProof/>
        </w:rPr>
        <w:t>1</w:t>
      </w:r>
    </w:p>
    <w:p w14:paraId="2A693A6C" w14:textId="56C78093" w:rsidR="00345D31" w:rsidRDefault="007F68BB" w:rsidP="00345D31">
      <w:pPr>
        <w:pStyle w:val="TableofFigures"/>
        <w:tabs>
          <w:tab w:val="right" w:leader="dot" w:pos="9016"/>
        </w:tabs>
        <w:rPr>
          <w:rFonts w:asciiTheme="minorHAnsi" w:eastAsiaTheme="minorEastAsia" w:hAnsiTheme="minorHAnsi"/>
          <w:noProof/>
          <w:sz w:val="24"/>
          <w:lang w:eastAsia="en-GB"/>
        </w:rPr>
      </w:pPr>
      <w:hyperlink w:anchor="_Toc75940828" w:history="1">
        <w:r w:rsidR="00345D31" w:rsidRPr="009C497D">
          <w:rPr>
            <w:rStyle w:val="Hyperlink"/>
            <w:noProof/>
          </w:rPr>
          <w:t>Highlight Box 5: Managing difficult questions</w:t>
        </w:r>
        <w:r w:rsidR="00345D31">
          <w:rPr>
            <w:noProof/>
            <w:webHidden/>
          </w:rPr>
          <w:tab/>
        </w:r>
        <w:r w:rsidR="00345D31">
          <w:rPr>
            <w:noProof/>
            <w:webHidden/>
          </w:rPr>
          <w:fldChar w:fldCharType="begin"/>
        </w:r>
        <w:r w:rsidR="00345D31">
          <w:rPr>
            <w:noProof/>
            <w:webHidden/>
          </w:rPr>
          <w:instrText xml:space="preserve"> PAGEREF _Toc75940828 \h </w:instrText>
        </w:r>
        <w:r w:rsidR="00345D31">
          <w:rPr>
            <w:noProof/>
            <w:webHidden/>
          </w:rPr>
        </w:r>
        <w:r w:rsidR="00345D31">
          <w:rPr>
            <w:noProof/>
            <w:webHidden/>
          </w:rPr>
          <w:fldChar w:fldCharType="separate"/>
        </w:r>
        <w:r w:rsidR="00D93EBF">
          <w:rPr>
            <w:noProof/>
            <w:webHidden/>
          </w:rPr>
          <w:t>6</w:t>
        </w:r>
        <w:r w:rsidR="00345D31">
          <w:rPr>
            <w:noProof/>
            <w:webHidden/>
          </w:rPr>
          <w:fldChar w:fldCharType="end"/>
        </w:r>
      </w:hyperlink>
      <w:r w:rsidR="00127267">
        <w:rPr>
          <w:noProof/>
        </w:rPr>
        <w:t>2</w:t>
      </w:r>
    </w:p>
    <w:p w14:paraId="21F30319" w14:textId="1222C3FD" w:rsidR="00345D31" w:rsidRDefault="007F68BB" w:rsidP="00345D31">
      <w:pPr>
        <w:pStyle w:val="TableofFigures"/>
        <w:tabs>
          <w:tab w:val="right" w:leader="dot" w:pos="9016"/>
        </w:tabs>
        <w:rPr>
          <w:rFonts w:asciiTheme="minorHAnsi" w:eastAsiaTheme="minorEastAsia" w:hAnsiTheme="minorHAnsi"/>
          <w:noProof/>
          <w:sz w:val="24"/>
          <w:lang w:eastAsia="en-GB"/>
        </w:rPr>
      </w:pPr>
      <w:hyperlink w:anchor="_Toc75940829" w:history="1">
        <w:r w:rsidR="00345D31" w:rsidRPr="009C497D">
          <w:rPr>
            <w:rStyle w:val="Hyperlink"/>
            <w:noProof/>
          </w:rPr>
          <w:t>Highlight Box 6: Conversation Container</w:t>
        </w:r>
        <w:r w:rsidR="00345D31">
          <w:rPr>
            <w:noProof/>
            <w:webHidden/>
          </w:rPr>
          <w:tab/>
        </w:r>
        <w:r w:rsidR="00345D31">
          <w:rPr>
            <w:noProof/>
            <w:webHidden/>
          </w:rPr>
          <w:fldChar w:fldCharType="begin"/>
        </w:r>
        <w:r w:rsidR="00345D31">
          <w:rPr>
            <w:noProof/>
            <w:webHidden/>
          </w:rPr>
          <w:instrText xml:space="preserve"> PAGEREF _Toc75940829 \h </w:instrText>
        </w:r>
        <w:r w:rsidR="00345D31">
          <w:rPr>
            <w:noProof/>
            <w:webHidden/>
          </w:rPr>
        </w:r>
        <w:r w:rsidR="00345D31">
          <w:rPr>
            <w:noProof/>
            <w:webHidden/>
          </w:rPr>
          <w:fldChar w:fldCharType="separate"/>
        </w:r>
        <w:r w:rsidR="00D93EBF">
          <w:rPr>
            <w:noProof/>
            <w:webHidden/>
          </w:rPr>
          <w:t>6</w:t>
        </w:r>
        <w:r w:rsidR="00345D31">
          <w:rPr>
            <w:noProof/>
            <w:webHidden/>
          </w:rPr>
          <w:fldChar w:fldCharType="end"/>
        </w:r>
      </w:hyperlink>
      <w:r w:rsidR="00127267">
        <w:rPr>
          <w:noProof/>
        </w:rPr>
        <w:t>5</w:t>
      </w:r>
    </w:p>
    <w:p w14:paraId="02CAA2F6" w14:textId="6630F310" w:rsidR="00345D31" w:rsidRDefault="007F68BB" w:rsidP="00345D31">
      <w:pPr>
        <w:pStyle w:val="TableofFigures"/>
        <w:tabs>
          <w:tab w:val="right" w:leader="dot" w:pos="9016"/>
        </w:tabs>
        <w:rPr>
          <w:rFonts w:asciiTheme="minorHAnsi" w:eastAsiaTheme="minorEastAsia" w:hAnsiTheme="minorHAnsi"/>
          <w:noProof/>
          <w:sz w:val="24"/>
          <w:lang w:eastAsia="en-GB"/>
        </w:rPr>
      </w:pPr>
      <w:hyperlink w:anchor="_Toc75940830" w:history="1">
        <w:r w:rsidR="00345D31" w:rsidRPr="009C497D">
          <w:rPr>
            <w:rStyle w:val="Hyperlink"/>
            <w:noProof/>
          </w:rPr>
          <w:t>Highlight Box 7: Finding the right approach</w:t>
        </w:r>
        <w:r w:rsidR="00345D31">
          <w:rPr>
            <w:noProof/>
            <w:webHidden/>
          </w:rPr>
          <w:tab/>
        </w:r>
        <w:r w:rsidR="00345D31">
          <w:rPr>
            <w:noProof/>
            <w:webHidden/>
          </w:rPr>
          <w:fldChar w:fldCharType="begin"/>
        </w:r>
        <w:r w:rsidR="00345D31">
          <w:rPr>
            <w:noProof/>
            <w:webHidden/>
          </w:rPr>
          <w:instrText xml:space="preserve"> PAGEREF _Toc75940830 \h </w:instrText>
        </w:r>
        <w:r w:rsidR="00345D31">
          <w:rPr>
            <w:noProof/>
            <w:webHidden/>
          </w:rPr>
        </w:r>
        <w:r w:rsidR="00345D31">
          <w:rPr>
            <w:noProof/>
            <w:webHidden/>
          </w:rPr>
          <w:fldChar w:fldCharType="separate"/>
        </w:r>
        <w:r w:rsidR="00D93EBF">
          <w:rPr>
            <w:noProof/>
            <w:webHidden/>
          </w:rPr>
          <w:t>6</w:t>
        </w:r>
        <w:r w:rsidR="00345D31">
          <w:rPr>
            <w:noProof/>
            <w:webHidden/>
          </w:rPr>
          <w:fldChar w:fldCharType="end"/>
        </w:r>
      </w:hyperlink>
      <w:r w:rsidR="00127267">
        <w:rPr>
          <w:noProof/>
        </w:rPr>
        <w:t>8</w:t>
      </w:r>
    </w:p>
    <w:p w14:paraId="32DA78C8" w14:textId="6332600F" w:rsidR="00345D31" w:rsidRDefault="007F68BB" w:rsidP="00345D31">
      <w:pPr>
        <w:pStyle w:val="TableofFigures"/>
        <w:tabs>
          <w:tab w:val="right" w:leader="dot" w:pos="9016"/>
        </w:tabs>
        <w:rPr>
          <w:rFonts w:asciiTheme="minorHAnsi" w:eastAsiaTheme="minorEastAsia" w:hAnsiTheme="minorHAnsi"/>
          <w:noProof/>
          <w:sz w:val="24"/>
          <w:lang w:eastAsia="en-GB"/>
        </w:rPr>
      </w:pPr>
      <w:hyperlink w:anchor="_Toc75940831" w:history="1">
        <w:r w:rsidR="00345D31" w:rsidRPr="009C497D">
          <w:rPr>
            <w:rStyle w:val="Hyperlink"/>
            <w:noProof/>
          </w:rPr>
          <w:t>Highlight Box 8: "There are some jobs women can’t do, like garbage jobs"</w:t>
        </w:r>
        <w:r w:rsidR="00345D31">
          <w:rPr>
            <w:noProof/>
            <w:webHidden/>
          </w:rPr>
          <w:tab/>
        </w:r>
        <w:r w:rsidR="00345D31">
          <w:rPr>
            <w:noProof/>
            <w:webHidden/>
          </w:rPr>
          <w:fldChar w:fldCharType="begin"/>
        </w:r>
        <w:r w:rsidR="00345D31">
          <w:rPr>
            <w:noProof/>
            <w:webHidden/>
          </w:rPr>
          <w:instrText xml:space="preserve"> PAGEREF _Toc75940831 \h </w:instrText>
        </w:r>
        <w:r w:rsidR="00345D31">
          <w:rPr>
            <w:noProof/>
            <w:webHidden/>
          </w:rPr>
        </w:r>
        <w:r w:rsidR="00345D31">
          <w:rPr>
            <w:noProof/>
            <w:webHidden/>
          </w:rPr>
          <w:fldChar w:fldCharType="separate"/>
        </w:r>
        <w:r w:rsidR="00D93EBF">
          <w:rPr>
            <w:noProof/>
            <w:webHidden/>
          </w:rPr>
          <w:t>6</w:t>
        </w:r>
        <w:r w:rsidR="00345D31">
          <w:rPr>
            <w:noProof/>
            <w:webHidden/>
          </w:rPr>
          <w:fldChar w:fldCharType="end"/>
        </w:r>
      </w:hyperlink>
      <w:r w:rsidR="00127267">
        <w:rPr>
          <w:noProof/>
        </w:rPr>
        <w:t>9</w:t>
      </w:r>
    </w:p>
    <w:p w14:paraId="02585A18" w14:textId="03C83E53" w:rsidR="00345D31" w:rsidRDefault="007F68BB" w:rsidP="00345D31">
      <w:pPr>
        <w:pStyle w:val="TableofFigures"/>
        <w:tabs>
          <w:tab w:val="right" w:leader="dot" w:pos="9016"/>
        </w:tabs>
        <w:rPr>
          <w:rFonts w:asciiTheme="minorHAnsi" w:eastAsiaTheme="minorEastAsia" w:hAnsiTheme="minorHAnsi"/>
          <w:noProof/>
          <w:sz w:val="24"/>
          <w:lang w:eastAsia="en-GB"/>
        </w:rPr>
      </w:pPr>
      <w:hyperlink w:anchor="_Toc75940832" w:history="1">
        <w:r w:rsidR="00345D31" w:rsidRPr="009C497D">
          <w:rPr>
            <w:rStyle w:val="Hyperlink"/>
            <w:noProof/>
          </w:rPr>
          <w:t>Highlight Box 9: Michael Flood, Dealing with resistance</w:t>
        </w:r>
        <w:r w:rsidR="00345D31">
          <w:rPr>
            <w:noProof/>
            <w:webHidden/>
          </w:rPr>
          <w:tab/>
        </w:r>
        <w:r w:rsidR="00345D31">
          <w:rPr>
            <w:noProof/>
            <w:webHidden/>
          </w:rPr>
          <w:fldChar w:fldCharType="begin"/>
        </w:r>
        <w:r w:rsidR="00345D31">
          <w:rPr>
            <w:noProof/>
            <w:webHidden/>
          </w:rPr>
          <w:instrText xml:space="preserve"> PAGEREF _Toc75940832 \h </w:instrText>
        </w:r>
        <w:r w:rsidR="00345D31">
          <w:rPr>
            <w:noProof/>
            <w:webHidden/>
          </w:rPr>
        </w:r>
        <w:r w:rsidR="00345D31">
          <w:rPr>
            <w:noProof/>
            <w:webHidden/>
          </w:rPr>
          <w:fldChar w:fldCharType="separate"/>
        </w:r>
        <w:r w:rsidR="00127267">
          <w:rPr>
            <w:noProof/>
            <w:webHidden/>
          </w:rPr>
          <w:t>7</w:t>
        </w:r>
        <w:r w:rsidR="00345D31">
          <w:rPr>
            <w:noProof/>
            <w:webHidden/>
          </w:rPr>
          <w:fldChar w:fldCharType="end"/>
        </w:r>
      </w:hyperlink>
      <w:r w:rsidR="00127267">
        <w:rPr>
          <w:noProof/>
        </w:rPr>
        <w:t>0</w:t>
      </w:r>
    </w:p>
    <w:p w14:paraId="1284EF23" w14:textId="41123928" w:rsidR="00345D31" w:rsidRDefault="007F68BB" w:rsidP="00345D31">
      <w:pPr>
        <w:pStyle w:val="TableofFigures"/>
        <w:tabs>
          <w:tab w:val="right" w:leader="dot" w:pos="9016"/>
        </w:tabs>
        <w:rPr>
          <w:rFonts w:asciiTheme="minorHAnsi" w:eastAsiaTheme="minorEastAsia" w:hAnsiTheme="minorHAnsi"/>
          <w:noProof/>
          <w:sz w:val="24"/>
          <w:lang w:eastAsia="en-GB"/>
        </w:rPr>
      </w:pPr>
      <w:hyperlink w:anchor="_Toc75940833" w:history="1">
        <w:r w:rsidR="00345D31" w:rsidRPr="009C497D">
          <w:rPr>
            <w:rStyle w:val="Hyperlink"/>
            <w:noProof/>
          </w:rPr>
          <w:t>Highlight Box 10: Tips for practicing curiosity</w:t>
        </w:r>
        <w:r w:rsidR="00345D31">
          <w:rPr>
            <w:noProof/>
            <w:webHidden/>
          </w:rPr>
          <w:tab/>
        </w:r>
        <w:r w:rsidR="00345D31">
          <w:rPr>
            <w:noProof/>
            <w:webHidden/>
          </w:rPr>
          <w:fldChar w:fldCharType="begin"/>
        </w:r>
        <w:r w:rsidR="00345D31">
          <w:rPr>
            <w:noProof/>
            <w:webHidden/>
          </w:rPr>
          <w:instrText xml:space="preserve"> PAGEREF _Toc75940833 \h </w:instrText>
        </w:r>
        <w:r w:rsidR="00345D31">
          <w:rPr>
            <w:noProof/>
            <w:webHidden/>
          </w:rPr>
        </w:r>
        <w:r w:rsidR="00345D31">
          <w:rPr>
            <w:noProof/>
            <w:webHidden/>
          </w:rPr>
          <w:fldChar w:fldCharType="separate"/>
        </w:r>
        <w:r w:rsidR="00D93EBF">
          <w:rPr>
            <w:noProof/>
            <w:webHidden/>
          </w:rPr>
          <w:t>7</w:t>
        </w:r>
        <w:r w:rsidR="00345D31">
          <w:rPr>
            <w:noProof/>
            <w:webHidden/>
          </w:rPr>
          <w:fldChar w:fldCharType="end"/>
        </w:r>
      </w:hyperlink>
      <w:r w:rsidR="00127267">
        <w:rPr>
          <w:noProof/>
        </w:rPr>
        <w:t>2</w:t>
      </w:r>
    </w:p>
    <w:p w14:paraId="10D6CFD6" w14:textId="4FC902C9" w:rsidR="00345D31" w:rsidRDefault="007F68BB" w:rsidP="00345D31">
      <w:pPr>
        <w:pStyle w:val="TableofFigures"/>
        <w:tabs>
          <w:tab w:val="right" w:leader="dot" w:pos="9016"/>
        </w:tabs>
        <w:rPr>
          <w:rFonts w:asciiTheme="minorHAnsi" w:eastAsiaTheme="minorEastAsia" w:hAnsiTheme="minorHAnsi"/>
          <w:noProof/>
          <w:sz w:val="24"/>
          <w:lang w:eastAsia="en-GB"/>
        </w:rPr>
      </w:pPr>
      <w:hyperlink w:anchor="_Toc75940834" w:history="1">
        <w:r w:rsidR="00345D31" w:rsidRPr="009C497D">
          <w:rPr>
            <w:rStyle w:val="Hyperlink"/>
            <w:noProof/>
          </w:rPr>
          <w:t>Highlight Box 11: Tips for finding connections</w:t>
        </w:r>
        <w:r w:rsidR="00345D31">
          <w:rPr>
            <w:noProof/>
            <w:webHidden/>
          </w:rPr>
          <w:tab/>
        </w:r>
        <w:r w:rsidR="00345D31">
          <w:rPr>
            <w:noProof/>
            <w:webHidden/>
          </w:rPr>
          <w:fldChar w:fldCharType="begin"/>
        </w:r>
        <w:r w:rsidR="00345D31">
          <w:rPr>
            <w:noProof/>
            <w:webHidden/>
          </w:rPr>
          <w:instrText xml:space="preserve"> PAGEREF _Toc75940834 \h </w:instrText>
        </w:r>
        <w:r w:rsidR="00345D31">
          <w:rPr>
            <w:noProof/>
            <w:webHidden/>
          </w:rPr>
        </w:r>
        <w:r w:rsidR="00345D31">
          <w:rPr>
            <w:noProof/>
            <w:webHidden/>
          </w:rPr>
          <w:fldChar w:fldCharType="separate"/>
        </w:r>
        <w:r w:rsidR="00D93EBF">
          <w:rPr>
            <w:noProof/>
            <w:webHidden/>
          </w:rPr>
          <w:t>7</w:t>
        </w:r>
        <w:r w:rsidR="00345D31">
          <w:rPr>
            <w:noProof/>
            <w:webHidden/>
          </w:rPr>
          <w:fldChar w:fldCharType="end"/>
        </w:r>
      </w:hyperlink>
      <w:r w:rsidR="00127267">
        <w:rPr>
          <w:noProof/>
        </w:rPr>
        <w:t>3</w:t>
      </w:r>
    </w:p>
    <w:p w14:paraId="1BEFFF1D" w14:textId="65D4DD59" w:rsidR="00345D31" w:rsidRDefault="007F68BB" w:rsidP="00345D31">
      <w:pPr>
        <w:pStyle w:val="TableofFigures"/>
        <w:tabs>
          <w:tab w:val="right" w:leader="dot" w:pos="9016"/>
        </w:tabs>
        <w:rPr>
          <w:rFonts w:asciiTheme="minorHAnsi" w:eastAsiaTheme="minorEastAsia" w:hAnsiTheme="minorHAnsi"/>
          <w:noProof/>
          <w:sz w:val="24"/>
          <w:lang w:eastAsia="en-GB"/>
        </w:rPr>
      </w:pPr>
      <w:hyperlink w:anchor="_Toc75940835" w:history="1">
        <w:r w:rsidR="00345D31" w:rsidRPr="009C497D">
          <w:rPr>
            <w:rStyle w:val="Hyperlink"/>
            <w:noProof/>
          </w:rPr>
          <w:t>Highlight Box 12: Resources for responding to resistance and backlash</w:t>
        </w:r>
        <w:r w:rsidR="00345D31">
          <w:rPr>
            <w:noProof/>
            <w:webHidden/>
          </w:rPr>
          <w:tab/>
        </w:r>
        <w:r w:rsidR="00345D31">
          <w:rPr>
            <w:noProof/>
            <w:webHidden/>
          </w:rPr>
          <w:fldChar w:fldCharType="begin"/>
        </w:r>
        <w:r w:rsidR="00345D31">
          <w:rPr>
            <w:noProof/>
            <w:webHidden/>
          </w:rPr>
          <w:instrText xml:space="preserve"> PAGEREF _Toc75940835 \h </w:instrText>
        </w:r>
        <w:r w:rsidR="00345D31">
          <w:rPr>
            <w:noProof/>
            <w:webHidden/>
          </w:rPr>
        </w:r>
        <w:r w:rsidR="00345D31">
          <w:rPr>
            <w:noProof/>
            <w:webHidden/>
          </w:rPr>
          <w:fldChar w:fldCharType="separate"/>
        </w:r>
        <w:r w:rsidR="00D93EBF">
          <w:rPr>
            <w:noProof/>
            <w:webHidden/>
          </w:rPr>
          <w:t>7</w:t>
        </w:r>
        <w:r w:rsidR="00345D31">
          <w:rPr>
            <w:noProof/>
            <w:webHidden/>
          </w:rPr>
          <w:fldChar w:fldCharType="end"/>
        </w:r>
      </w:hyperlink>
      <w:r w:rsidR="00127267">
        <w:rPr>
          <w:noProof/>
        </w:rPr>
        <w:t>3</w:t>
      </w:r>
    </w:p>
    <w:p w14:paraId="04119849" w14:textId="611AC21E" w:rsidR="00345D31" w:rsidRPr="00345D31" w:rsidRDefault="00345D31" w:rsidP="00345D31">
      <w:pPr>
        <w:rPr>
          <w:rFonts w:ascii="Rubik" w:hAnsi="Rubik"/>
          <w:b/>
          <w:bCs/>
          <w:color w:val="E57200"/>
          <w:sz w:val="60"/>
          <w:szCs w:val="28"/>
        </w:rPr>
        <w:sectPr w:rsidR="00345D31" w:rsidRPr="00345D31" w:rsidSect="00E10229">
          <w:headerReference w:type="even" r:id="rId18"/>
          <w:headerReference w:type="default" r:id="rId19"/>
          <w:headerReference w:type="first" r:id="rId20"/>
          <w:type w:val="continuous"/>
          <w:pgSz w:w="11900" w:h="16850"/>
          <w:pgMar w:top="1701" w:right="851" w:bottom="1985" w:left="851" w:header="709" w:footer="709" w:gutter="0"/>
          <w:pgNumType w:fmt="lowerRoman" w:start="2"/>
          <w:cols w:space="720"/>
          <w:docGrid w:linePitch="326"/>
        </w:sectPr>
      </w:pPr>
      <w:r w:rsidRPr="00EC05BD">
        <w:rPr>
          <w:color w:val="2B579A"/>
          <w:shd w:val="clear" w:color="auto" w:fill="E6E6E6"/>
        </w:rPr>
        <w:fldChar w:fldCharType="end"/>
      </w:r>
    </w:p>
    <w:p w14:paraId="051862FC" w14:textId="226682E9" w:rsidR="00A31E1D" w:rsidRPr="001D4E8F" w:rsidRDefault="002B3DC3" w:rsidP="008E06F4">
      <w:pPr>
        <w:pStyle w:val="Heading1"/>
      </w:pPr>
      <w:bookmarkStart w:id="23" w:name="_Toc85620715"/>
      <w:bookmarkStart w:id="24" w:name="_Toc87526303"/>
      <w:r>
        <w:lastRenderedPageBreak/>
        <w:t>Introduction &amp; Report Summary</w:t>
      </w:r>
      <w:bookmarkEnd w:id="23"/>
      <w:bookmarkEnd w:id="24"/>
      <w:r>
        <w:t xml:space="preserve"> </w:t>
      </w:r>
    </w:p>
    <w:p w14:paraId="7842709A" w14:textId="77777777" w:rsidR="004146C7" w:rsidRDefault="004146C7" w:rsidP="004146C7">
      <w:pPr>
        <w:pStyle w:val="Heading2"/>
        <w:sectPr w:rsidR="004146C7" w:rsidSect="003820C5">
          <w:pgSz w:w="11900" w:h="16850"/>
          <w:pgMar w:top="1701" w:right="851" w:bottom="1985" w:left="851" w:header="709" w:footer="709" w:gutter="0"/>
          <w:pgNumType w:start="1"/>
          <w:cols w:space="720"/>
          <w:docGrid w:linePitch="326"/>
        </w:sectPr>
      </w:pPr>
    </w:p>
    <w:p w14:paraId="13113AF8" w14:textId="72B70ADB" w:rsidR="00F757F7" w:rsidRPr="004146C7" w:rsidRDefault="007C2457" w:rsidP="004146C7">
      <w:pPr>
        <w:pStyle w:val="Heading2"/>
      </w:pPr>
      <w:bookmarkStart w:id="25" w:name="_Toc85620716"/>
      <w:bookmarkStart w:id="26" w:name="_Toc87526304"/>
      <w:r w:rsidRPr="004146C7">
        <w:t>Background</w:t>
      </w:r>
      <w:bookmarkEnd w:id="25"/>
      <w:bookmarkEnd w:id="26"/>
    </w:p>
    <w:p w14:paraId="265542E0" w14:textId="77777777" w:rsidR="00DA3596" w:rsidRDefault="00DA3596" w:rsidP="00DA3596">
      <w:pPr>
        <w:pStyle w:val="BulletList"/>
        <w:numPr>
          <w:ilvl w:val="0"/>
          <w:numId w:val="0"/>
        </w:numPr>
      </w:pPr>
      <w:r>
        <w:t>R</w:t>
      </w:r>
      <w:r w:rsidRPr="002F5D42">
        <w:t xml:space="preserve">esistance and backlash </w:t>
      </w:r>
      <w:r>
        <w:t xml:space="preserve">to primary prevention of violence against women </w:t>
      </w:r>
      <w:r w:rsidRPr="002F5D42">
        <w:t xml:space="preserve">is a complex, interrelated and contextual phenomenon that occurs </w:t>
      </w:r>
      <w:r>
        <w:t xml:space="preserve">across different levels and settings of Australian society. </w:t>
      </w:r>
      <w:r w:rsidRPr="00B43F9C">
        <w:t>Th</w:t>
      </w:r>
      <w:r>
        <w:t xml:space="preserve">is research project and </w:t>
      </w:r>
      <w:r w:rsidRPr="00B43F9C">
        <w:t xml:space="preserve">report contributes to the </w:t>
      </w:r>
      <w:r>
        <w:t xml:space="preserve">growing body of theory and evidence that seeks to better understand the drivers of resistance, and develop strategies to identify, monitor, </w:t>
      </w:r>
      <w:proofErr w:type="spellStart"/>
      <w:r>
        <w:t>minimise</w:t>
      </w:r>
      <w:proofErr w:type="spellEnd"/>
      <w:r>
        <w:t xml:space="preserve"> and respond to resistance. </w:t>
      </w:r>
    </w:p>
    <w:p w14:paraId="254B5A01" w14:textId="7AFD1CA5" w:rsidR="00DA3596" w:rsidRDefault="00DA3596" w:rsidP="00DA3596">
      <w:pPr>
        <w:pStyle w:val="BulletList"/>
        <w:numPr>
          <w:ilvl w:val="0"/>
          <w:numId w:val="0"/>
        </w:numPr>
      </w:pPr>
      <w:r>
        <w:t>I</w:t>
      </w:r>
      <w:r w:rsidRPr="002F5D42">
        <w:t xml:space="preserve">f the goal of primary prevention of violence against women is to prevent violence, there is also a responsibility to reflect on how </w:t>
      </w:r>
      <w:r>
        <w:t>prevention</w:t>
      </w:r>
      <w:r w:rsidRPr="002F5D42">
        <w:t xml:space="preserve"> efforts </w:t>
      </w:r>
      <w:r>
        <w:t>may</w:t>
      </w:r>
      <w:r w:rsidRPr="002F5D42">
        <w:t xml:space="preserve"> </w:t>
      </w:r>
      <w:r>
        <w:t>trigger</w:t>
      </w:r>
      <w:r w:rsidRPr="002F5D42">
        <w:t xml:space="preserve"> violence in the form of </w:t>
      </w:r>
      <w:r>
        <w:t xml:space="preserve">overtly </w:t>
      </w:r>
      <w:r w:rsidRPr="002F5D42">
        <w:t>hostile</w:t>
      </w:r>
      <w:r>
        <w:t xml:space="preserve">, </w:t>
      </w:r>
      <w:proofErr w:type="gramStart"/>
      <w:r>
        <w:t>aggressive</w:t>
      </w:r>
      <w:proofErr w:type="gramEnd"/>
      <w:r>
        <w:t xml:space="preserve"> and abusive </w:t>
      </w:r>
      <w:r w:rsidRPr="002F5D42">
        <w:t>anti-feminist backlash</w:t>
      </w:r>
      <w:r>
        <w:t xml:space="preserve"> directed towards women</w:t>
      </w:r>
      <w:r w:rsidR="006830A3">
        <w:t>,</w:t>
      </w:r>
      <w:r w:rsidR="00584AAA">
        <w:t xml:space="preserve"> </w:t>
      </w:r>
      <w:r>
        <w:t xml:space="preserve">prevention practitioners and </w:t>
      </w:r>
      <w:proofErr w:type="spellStart"/>
      <w:r>
        <w:t>organisations</w:t>
      </w:r>
      <w:proofErr w:type="spellEnd"/>
      <w:r>
        <w:t>. At the same time, research and analysis demonstrate that</w:t>
      </w:r>
      <w:r w:rsidRPr="002F5D42">
        <w:t xml:space="preserve"> the more passive forms of resistance to primary prevention —denying the gendered drivers of violence against women</w:t>
      </w:r>
      <w:r>
        <w:t>, or</w:t>
      </w:r>
      <w:r w:rsidRPr="002F5D42">
        <w:t xml:space="preserve"> disavowing responsibility to </w:t>
      </w:r>
      <w:r>
        <w:t xml:space="preserve">address them, or to </w:t>
      </w:r>
      <w:r w:rsidRPr="002F5D42">
        <w:t xml:space="preserve">reflect on complicity in perpetuating sexist and patriarchal norms, </w:t>
      </w:r>
      <w:proofErr w:type="gramStart"/>
      <w:r w:rsidRPr="002F5D42">
        <w:t>practices</w:t>
      </w:r>
      <w:proofErr w:type="gramEnd"/>
      <w:r w:rsidRPr="002F5D42">
        <w:t xml:space="preserve"> and structures</w:t>
      </w:r>
      <w:r w:rsidR="008C0921" w:rsidRPr="002F5D42">
        <w:t>—</w:t>
      </w:r>
      <w:r w:rsidRPr="002F5D42">
        <w:t xml:space="preserve"> underpin the</w:t>
      </w:r>
      <w:r>
        <w:t>se</w:t>
      </w:r>
      <w:r w:rsidRPr="002F5D42">
        <w:t xml:space="preserve"> </w:t>
      </w:r>
      <w:r>
        <w:t>more aggressive</w:t>
      </w:r>
      <w:r w:rsidRPr="002F5D42">
        <w:t xml:space="preserve"> </w:t>
      </w:r>
      <w:r>
        <w:t xml:space="preserve">and violent </w:t>
      </w:r>
      <w:r w:rsidRPr="002F5D42">
        <w:t>forms of backlash</w:t>
      </w:r>
      <w:r>
        <w:t>. It</w:t>
      </w:r>
      <w:r w:rsidRPr="002F5D42">
        <w:t xml:space="preserve"> is</w:t>
      </w:r>
      <w:r>
        <w:t xml:space="preserve"> therefore</w:t>
      </w:r>
      <w:r w:rsidRPr="002F5D42">
        <w:t xml:space="preserve"> important to </w:t>
      </w:r>
      <w:r>
        <w:t>understand, monitor and develop strategies to prevent and respond to the whole spectrum of different</w:t>
      </w:r>
      <w:r w:rsidRPr="002F5D42">
        <w:t xml:space="preserve"> forms of resistance.  </w:t>
      </w:r>
    </w:p>
    <w:p w14:paraId="34D0417D" w14:textId="77777777" w:rsidR="00DA3596" w:rsidRPr="00290C4A" w:rsidRDefault="00DA3596" w:rsidP="00DA3596">
      <w:pPr>
        <w:pStyle w:val="BulletList"/>
      </w:pPr>
      <w:r w:rsidRPr="00290C4A">
        <w:rPr>
          <w:b/>
        </w:rPr>
        <w:t>Part One</w:t>
      </w:r>
      <w:r w:rsidRPr="00290C4A">
        <w:t xml:space="preserve"> situates the research project within the context of frameworks for the primary prevention of violence against </w:t>
      </w:r>
      <w:r w:rsidRPr="00290C4A">
        <w:t xml:space="preserve">women and discusses backlash as one of the reinforcing factors for this violence. It also outlines the scope and methodology of the project. </w:t>
      </w:r>
    </w:p>
    <w:p w14:paraId="339FC5DB" w14:textId="77777777" w:rsidR="00DA3596" w:rsidRDefault="00DA3596" w:rsidP="00DA3596">
      <w:pPr>
        <w:pStyle w:val="BulletList"/>
      </w:pPr>
      <w:r w:rsidRPr="00FD58B7">
        <w:rPr>
          <w:b/>
        </w:rPr>
        <w:t xml:space="preserve">Part </w:t>
      </w:r>
      <w:r>
        <w:rPr>
          <w:b/>
        </w:rPr>
        <w:t xml:space="preserve">Two </w:t>
      </w:r>
      <w:r w:rsidRPr="00E44D85">
        <w:t>provides a definition</w:t>
      </w:r>
      <w:r>
        <w:t xml:space="preserve"> of resistance and </w:t>
      </w:r>
      <w:proofErr w:type="gramStart"/>
      <w:r>
        <w:t>backlash, and</w:t>
      </w:r>
      <w:proofErr w:type="gramEnd"/>
      <w:r>
        <w:t xml:space="preserve"> </w:t>
      </w:r>
      <w:r w:rsidRPr="00AF0010">
        <w:t>establish</w:t>
      </w:r>
      <w:r>
        <w:t xml:space="preserve">es the relationship between resistance and masculinities and male privilege. It reviews existing literature on institutional resistance and on the ways in which institutions themselves are gendered. This section also describes some of the potential drivers of resistance and points to some key settings where resistance can occur. </w:t>
      </w:r>
    </w:p>
    <w:p w14:paraId="5C3C1BA0" w14:textId="77777777" w:rsidR="00DA3596" w:rsidRDefault="00DA3596" w:rsidP="00DA3596">
      <w:pPr>
        <w:pStyle w:val="BulletList"/>
      </w:pPr>
      <w:r w:rsidRPr="00FD58B7">
        <w:rPr>
          <w:b/>
        </w:rPr>
        <w:t xml:space="preserve">Part </w:t>
      </w:r>
      <w:r>
        <w:rPr>
          <w:b/>
        </w:rPr>
        <w:t xml:space="preserve">Three </w:t>
      </w:r>
      <w:r>
        <w:t xml:space="preserve">considers the eight different forms of resistance and backlash </w:t>
      </w:r>
      <w:proofErr w:type="spellStart"/>
      <w:r>
        <w:t>theorised</w:t>
      </w:r>
      <w:proofErr w:type="spellEnd"/>
      <w:r>
        <w:t xml:space="preserve"> by </w:t>
      </w:r>
      <w:r w:rsidRPr="00437FB5">
        <w:t xml:space="preserve">Flood, </w:t>
      </w:r>
      <w:proofErr w:type="spellStart"/>
      <w:r w:rsidRPr="00437FB5">
        <w:t>Dragiewicz</w:t>
      </w:r>
      <w:proofErr w:type="spellEnd"/>
      <w:r w:rsidRPr="00437FB5">
        <w:t xml:space="preserve"> and Pease (2018, 2020)</w:t>
      </w:r>
      <w:r w:rsidRPr="00AF0010">
        <w:t>,</w:t>
      </w:r>
      <w:r>
        <w:t xml:space="preserve"> illustrating the different ways they can manifest at individual, community, </w:t>
      </w:r>
      <w:proofErr w:type="spellStart"/>
      <w:r>
        <w:t>organisational</w:t>
      </w:r>
      <w:proofErr w:type="spellEnd"/>
      <w:r>
        <w:t xml:space="preserve"> and institutional levels. </w:t>
      </w:r>
    </w:p>
    <w:p w14:paraId="4ECD1BC3" w14:textId="7FA8941F" w:rsidR="00DA3596" w:rsidRDefault="00DA3596" w:rsidP="00DA3596">
      <w:pPr>
        <w:pStyle w:val="BulletList"/>
      </w:pPr>
      <w:r w:rsidRPr="00FD58B7">
        <w:rPr>
          <w:b/>
        </w:rPr>
        <w:t xml:space="preserve">Part </w:t>
      </w:r>
      <w:r>
        <w:rPr>
          <w:b/>
        </w:rPr>
        <w:t xml:space="preserve">Four </w:t>
      </w:r>
      <w:r>
        <w:t xml:space="preserve">discusses the importance of actively monitoring </w:t>
      </w:r>
      <w:proofErr w:type="gramStart"/>
      <w:r>
        <w:t>resistance,</w:t>
      </w:r>
      <w:r w:rsidRPr="00AF0010">
        <w:t xml:space="preserve"> </w:t>
      </w:r>
      <w:r>
        <w:t>and</w:t>
      </w:r>
      <w:proofErr w:type="gramEnd"/>
      <w:r>
        <w:t xml:space="preserve"> outlines an approach for monitoring resistance to primary prevention of violence against women interventions in institutions and </w:t>
      </w:r>
      <w:proofErr w:type="spellStart"/>
      <w:r>
        <w:t>organisations</w:t>
      </w:r>
      <w:proofErr w:type="spellEnd"/>
      <w:r w:rsidRPr="00AF0010">
        <w:t>.</w:t>
      </w:r>
      <w:r>
        <w:t xml:space="preserve"> </w:t>
      </w:r>
    </w:p>
    <w:p w14:paraId="7EDA63D7" w14:textId="77777777" w:rsidR="00DA3596" w:rsidRDefault="00DA3596" w:rsidP="00DA3596">
      <w:pPr>
        <w:pStyle w:val="BulletList"/>
      </w:pPr>
      <w:r w:rsidRPr="001669E9">
        <w:rPr>
          <w:b/>
        </w:rPr>
        <w:t xml:space="preserve">Part </w:t>
      </w:r>
      <w:r>
        <w:rPr>
          <w:b/>
        </w:rPr>
        <w:t xml:space="preserve">Five </w:t>
      </w:r>
      <w:r>
        <w:t xml:space="preserve">explores strategies to </w:t>
      </w:r>
      <w:proofErr w:type="spellStart"/>
      <w:r>
        <w:t>minimise</w:t>
      </w:r>
      <w:proofErr w:type="spellEnd"/>
      <w:r>
        <w:t xml:space="preserve"> resistance before it occurs, as well as strategies to respond to resistance. It concludes by</w:t>
      </w:r>
      <w:r w:rsidRPr="00AF0010">
        <w:t xml:space="preserve"> propos</w:t>
      </w:r>
      <w:r>
        <w:t xml:space="preserve">ing action-based responses which correspond to the eight forms of resistance outlined in Part 3.  </w:t>
      </w:r>
    </w:p>
    <w:p w14:paraId="7EB5EDF0" w14:textId="77777777" w:rsidR="00AF328D" w:rsidRDefault="00DA3596" w:rsidP="003438F5">
      <w:r w:rsidRPr="00290C4A">
        <w:rPr>
          <w:b/>
          <w:bCs/>
        </w:rPr>
        <w:lastRenderedPageBreak/>
        <w:t xml:space="preserve">Part Six </w:t>
      </w:r>
      <w:r w:rsidRPr="00290C4A">
        <w:t>concludes the report by outlining several opportunities for further research and examination of</w:t>
      </w:r>
      <w:r w:rsidR="0098428F">
        <w:t xml:space="preserve"> </w:t>
      </w:r>
      <w:r w:rsidRPr="00290C4A">
        <w:t xml:space="preserve">resistance and </w:t>
      </w:r>
      <w:r w:rsidRPr="00290C4A">
        <w:t xml:space="preserve">backlash to primary prevention of violence against women. </w:t>
      </w:r>
    </w:p>
    <w:p w14:paraId="53B54475" w14:textId="525E176F" w:rsidR="003438F5" w:rsidRDefault="003438F5" w:rsidP="003438F5">
      <w:pPr>
        <w:rPr>
          <w:color w:val="000000" w:themeColor="text1"/>
          <w:sz w:val="22"/>
        </w:rPr>
      </w:pPr>
      <w:r>
        <w:rPr>
          <w:b/>
          <w:bCs/>
          <w:color w:val="000000" w:themeColor="text1"/>
          <w:sz w:val="22"/>
        </w:rPr>
        <w:br w:type="page"/>
      </w:r>
    </w:p>
    <w:p w14:paraId="683B72D1" w14:textId="77777777" w:rsidR="001451D6" w:rsidRPr="00855B8C" w:rsidRDefault="001451D6" w:rsidP="007E4EF0">
      <w:pPr>
        <w:pStyle w:val="BulletList"/>
        <w:sectPr w:rsidR="001451D6" w:rsidRPr="00855B8C" w:rsidSect="008441EC">
          <w:type w:val="continuous"/>
          <w:pgSz w:w="11900" w:h="16850"/>
          <w:pgMar w:top="1340" w:right="1060" w:bottom="1020" w:left="860" w:header="567" w:footer="824" w:gutter="0"/>
          <w:cols w:num="2" w:space="720"/>
          <w:docGrid w:linePitch="299"/>
        </w:sectPr>
      </w:pPr>
    </w:p>
    <w:p w14:paraId="26395BD9" w14:textId="5C1F0C8D" w:rsidR="00345D31" w:rsidRPr="008E06F4" w:rsidRDefault="008E06F4" w:rsidP="008E06F4">
      <w:pPr>
        <w:pStyle w:val="Heading1"/>
      </w:pPr>
      <w:bookmarkStart w:id="27" w:name="_Toc74729684"/>
      <w:bookmarkStart w:id="28" w:name="_Toc85032893"/>
      <w:bookmarkStart w:id="29" w:name="_Toc85620717"/>
      <w:bookmarkStart w:id="30" w:name="_Toc87526305"/>
      <w:r w:rsidRPr="008E06F4">
        <w:lastRenderedPageBreak/>
        <w:t>Part 1</w:t>
      </w:r>
      <w:r w:rsidR="00CC17BE">
        <w:t xml:space="preserve"> - </w:t>
      </w:r>
      <w:r w:rsidR="00345D31" w:rsidRPr="008E06F4">
        <w:t>Resistance and backlash to primary prevention of violence against women</w:t>
      </w:r>
      <w:bookmarkEnd w:id="27"/>
      <w:bookmarkEnd w:id="28"/>
      <w:bookmarkEnd w:id="29"/>
      <w:bookmarkEnd w:id="30"/>
    </w:p>
    <w:p w14:paraId="7F3BBC17" w14:textId="77777777" w:rsidR="00855B8C" w:rsidRDefault="00855B8C" w:rsidP="00A259CD">
      <w:pPr>
        <w:pStyle w:val="BodyText1"/>
        <w:rPr>
          <w:lang w:val="en-GB"/>
        </w:rPr>
        <w:sectPr w:rsidR="00855B8C" w:rsidSect="007937A4">
          <w:type w:val="continuous"/>
          <w:pgSz w:w="11900" w:h="16850"/>
          <w:pgMar w:top="1340" w:right="1060" w:bottom="1020" w:left="860" w:header="709" w:footer="709" w:gutter="0"/>
          <w:cols w:space="720"/>
          <w:docGrid w:linePitch="326"/>
        </w:sectPr>
      </w:pPr>
    </w:p>
    <w:p w14:paraId="649737FB" w14:textId="69907C09" w:rsidR="00345D31" w:rsidRPr="00437FB5" w:rsidRDefault="00345D31" w:rsidP="00345D31">
      <w:pPr>
        <w:contextualSpacing/>
      </w:pPr>
      <w:r w:rsidRPr="00437FB5">
        <w:t xml:space="preserve">The national framework that guides primary prevention of violence against women in Australia, </w:t>
      </w:r>
      <w:r w:rsidRPr="00437FB5">
        <w:rPr>
          <w:i/>
          <w:iCs/>
        </w:rPr>
        <w:t>Change the story: A shared framework for the primary prevention of violence against women and their children in Australia</w:t>
      </w:r>
      <w:r w:rsidRPr="00437FB5">
        <w:t xml:space="preserve">, </w:t>
      </w:r>
      <w:r>
        <w:t>points to the consensus in the international literature that it is gender inequality that sets the underlying conditions for violence against women.</w:t>
      </w:r>
      <w:r>
        <w:rPr>
          <w:rStyle w:val="FootnoteReference"/>
        </w:rPr>
        <w:footnoteReference w:id="1"/>
      </w:r>
      <w:r>
        <w:t xml:space="preserve"> </w:t>
      </w:r>
      <w:r w:rsidR="00230506">
        <w:t>The first edition of this document noted that</w:t>
      </w:r>
      <w:r w:rsidRPr="00437FB5">
        <w:t>:</w:t>
      </w:r>
    </w:p>
    <w:p w14:paraId="238A0906" w14:textId="77777777" w:rsidR="00345D31" w:rsidRPr="00345D31" w:rsidRDefault="00345D31" w:rsidP="00345D31">
      <w:pPr>
        <w:ind w:left="567" w:right="521" w:firstLine="1"/>
        <w:contextualSpacing/>
        <w:rPr>
          <w:rFonts w:eastAsia="Times New Roman" w:cs="Times New Roman"/>
          <w:i/>
          <w:iCs/>
          <w:color w:val="000000" w:themeColor="text1"/>
          <w:lang w:eastAsia="en-GB"/>
        </w:rPr>
      </w:pPr>
      <w:r w:rsidRPr="00345D31">
        <w:rPr>
          <w:rFonts w:eastAsia="Times New Roman" w:cs="Times New Roman"/>
          <w:i/>
          <w:iCs/>
          <w:color w:val="000000" w:themeColor="text1"/>
          <w:lang w:eastAsia="en-GB"/>
        </w:rPr>
        <w:t xml:space="preserve">Gender inequality is maintained and perpetuated today through structures that continue to organise and reinforce an unequal distribution of economic, </w:t>
      </w:r>
      <w:proofErr w:type="gramStart"/>
      <w:r w:rsidRPr="00345D31">
        <w:rPr>
          <w:rFonts w:eastAsia="Times New Roman" w:cs="Times New Roman"/>
          <w:i/>
          <w:iCs/>
          <w:color w:val="000000" w:themeColor="text1"/>
          <w:lang w:eastAsia="en-GB"/>
        </w:rPr>
        <w:t>social</w:t>
      </w:r>
      <w:proofErr w:type="gramEnd"/>
      <w:r w:rsidRPr="00345D31">
        <w:rPr>
          <w:rFonts w:eastAsia="Times New Roman" w:cs="Times New Roman"/>
          <w:i/>
          <w:iCs/>
          <w:color w:val="000000" w:themeColor="text1"/>
          <w:lang w:eastAsia="en-GB"/>
        </w:rPr>
        <w:t xml:space="preserve"> and political power and resources between women and men; limiting social norms that prescribe the type of conduct, roles, interests and contributions expected from women and men; and the practices, behaviours and choices made on a daily basis that reinforce these gendered structures and norms (2015, p.8).</w:t>
      </w:r>
    </w:p>
    <w:p w14:paraId="0188EC99" w14:textId="77777777" w:rsidR="00345D31" w:rsidRPr="00437FB5" w:rsidRDefault="00345D31" w:rsidP="00345D31">
      <w:pPr>
        <w:ind w:left="567" w:right="521" w:firstLine="1"/>
        <w:contextualSpacing/>
        <w:rPr>
          <w:color w:val="000000" w:themeColor="text1"/>
        </w:rPr>
      </w:pPr>
    </w:p>
    <w:p w14:paraId="7CE94CA5" w14:textId="77777777" w:rsidR="00345D31" w:rsidRPr="002E2690" w:rsidRDefault="00345D31" w:rsidP="00345D31">
      <w:pPr>
        <w:ind w:firstLine="1"/>
        <w:contextualSpacing/>
      </w:pPr>
      <w:r>
        <w:t>Drawing on t</w:t>
      </w:r>
      <w:r w:rsidRPr="005E3943">
        <w:t>he socioecological model</w:t>
      </w:r>
      <w:r>
        <w:t>,</w:t>
      </w:r>
      <w:r w:rsidRPr="005E3943">
        <w:t xml:space="preserve"> </w:t>
      </w:r>
      <w:r w:rsidRPr="001C7855">
        <w:rPr>
          <w:i/>
          <w:iCs/>
        </w:rPr>
        <w:t>Change the story</w:t>
      </w:r>
      <w:r w:rsidRPr="00F0202D">
        <w:t xml:space="preserve"> identifies the need for gender inequality to be addressed at individual, </w:t>
      </w:r>
      <w:proofErr w:type="gramStart"/>
      <w:r w:rsidRPr="00F0202D">
        <w:t>community</w:t>
      </w:r>
      <w:proofErr w:type="gramEnd"/>
      <w:r w:rsidRPr="00F0202D">
        <w:t xml:space="preserve"> and organisational, institutional, and societal levels in order to prevent </w:t>
      </w:r>
      <w:r w:rsidRPr="00E04778">
        <w:t>violence against women</w:t>
      </w:r>
      <w:r w:rsidRPr="00661AF1">
        <w:t xml:space="preserve"> (Figure 1). </w:t>
      </w:r>
    </w:p>
    <w:p w14:paraId="1819D818" w14:textId="77777777" w:rsidR="00AF7D4E" w:rsidRDefault="00AF7D4E" w:rsidP="00345D31">
      <w:pPr>
        <w:ind w:firstLine="1"/>
        <w:contextualSpacing/>
        <w:rPr>
          <w:i/>
          <w:iCs/>
        </w:rPr>
      </w:pPr>
    </w:p>
    <w:p w14:paraId="0DED9AA6" w14:textId="327A2FA5" w:rsidR="00345D31" w:rsidRPr="005E3943" w:rsidRDefault="00345D31" w:rsidP="00345D31">
      <w:pPr>
        <w:spacing w:after="120"/>
      </w:pPr>
      <w:r w:rsidRPr="00232FD3">
        <w:rPr>
          <w:i/>
          <w:iCs/>
        </w:rPr>
        <w:t>Change the story</w:t>
      </w:r>
      <w:r>
        <w:t xml:space="preserve"> identifies four specific manifestations of gend</w:t>
      </w:r>
      <w:r w:rsidRPr="00AF5BC0">
        <w:t>e</w:t>
      </w:r>
      <w:r>
        <w:t>r inequality</w:t>
      </w:r>
      <w:r w:rsidRPr="00AF5BC0">
        <w:t xml:space="preserve"> that </w:t>
      </w:r>
      <w:r>
        <w:t>are associated with</w:t>
      </w:r>
      <w:r w:rsidRPr="00AF5BC0">
        <w:t xml:space="preserve"> higher rates of violence against women</w:t>
      </w:r>
      <w:r>
        <w:t>. Referred to as the ‘gendered drivers’ of violence, these</w:t>
      </w:r>
      <w:r w:rsidRPr="00AF5BC0">
        <w:t xml:space="preserve"> are:</w:t>
      </w:r>
    </w:p>
    <w:p w14:paraId="6F5291B1" w14:textId="77777777" w:rsidR="00345D31" w:rsidRPr="00AF5BC0" w:rsidRDefault="00345D31" w:rsidP="00B01F9C">
      <w:pPr>
        <w:pStyle w:val="ListParagraph"/>
        <w:widowControl/>
        <w:numPr>
          <w:ilvl w:val="0"/>
          <w:numId w:val="9"/>
        </w:numPr>
        <w:autoSpaceDE/>
        <w:autoSpaceDN/>
        <w:spacing w:before="0" w:after="120"/>
        <w:ind w:left="714" w:hanging="357"/>
      </w:pPr>
      <w:r w:rsidRPr="00861660">
        <w:rPr>
          <w:b/>
          <w:bCs/>
          <w:i/>
          <w:iCs/>
        </w:rPr>
        <w:t>Condoning of violence against women</w:t>
      </w:r>
      <w:r>
        <w:t xml:space="preserve"> (by justifying, excusing, </w:t>
      </w:r>
      <w:proofErr w:type="gramStart"/>
      <w:r>
        <w:t>trivialising</w:t>
      </w:r>
      <w:proofErr w:type="gramEnd"/>
      <w:r>
        <w:t xml:space="preserve"> and downplaying violence and shifting blame for violence onto victims).</w:t>
      </w:r>
    </w:p>
    <w:p w14:paraId="4DAC26C4" w14:textId="20CEDFFE" w:rsidR="00345D31" w:rsidRPr="00861660" w:rsidRDefault="00DD48BD" w:rsidP="00B01F9C">
      <w:pPr>
        <w:pStyle w:val="ListParagraph"/>
        <w:widowControl/>
        <w:numPr>
          <w:ilvl w:val="0"/>
          <w:numId w:val="9"/>
        </w:numPr>
        <w:autoSpaceDE/>
        <w:autoSpaceDN/>
        <w:spacing w:before="0" w:after="120"/>
        <w:ind w:left="714" w:hanging="357"/>
        <w:rPr>
          <w:b/>
          <w:bCs/>
          <w:i/>
          <w:iCs/>
        </w:rPr>
      </w:pPr>
      <w:r w:rsidRPr="00DD48BD">
        <w:rPr>
          <w:b/>
          <w:bCs/>
          <w:i/>
          <w:iCs/>
        </w:rPr>
        <w:t xml:space="preserve">Men’s control of decision-making and limits to women’s independence in public and private life </w:t>
      </w:r>
      <w:r w:rsidR="00345D31" w:rsidRPr="007F50DB">
        <w:t>(</w:t>
      </w:r>
      <w:r w:rsidR="00345D31" w:rsidRPr="00232FD3">
        <w:t>playing out</w:t>
      </w:r>
      <w:r w:rsidR="00345D31">
        <w:t xml:space="preserve"> through ideas of male control and dominance in sexual and romantic relationships as well as in the social sphere through women’s unequal access to resources, </w:t>
      </w:r>
      <w:proofErr w:type="gramStart"/>
      <w:r w:rsidR="00345D31">
        <w:t>power</w:t>
      </w:r>
      <w:proofErr w:type="gramEnd"/>
      <w:r w:rsidR="00345D31">
        <w:t xml:space="preserve"> and decision-making)</w:t>
      </w:r>
      <w:r w:rsidR="00345D31" w:rsidRPr="00AF328D">
        <w:t>.</w:t>
      </w:r>
    </w:p>
    <w:p w14:paraId="60580398" w14:textId="67F2CEB7" w:rsidR="00345D31" w:rsidRPr="00D84984" w:rsidRDefault="00DD48BD" w:rsidP="00B01F9C">
      <w:pPr>
        <w:pStyle w:val="ListParagraph"/>
        <w:widowControl/>
        <w:numPr>
          <w:ilvl w:val="0"/>
          <w:numId w:val="9"/>
        </w:numPr>
        <w:autoSpaceDE/>
        <w:autoSpaceDN/>
        <w:spacing w:before="0" w:after="120"/>
        <w:ind w:left="714" w:hanging="357"/>
        <w:rPr>
          <w:b/>
          <w:bCs/>
          <w:i/>
          <w:iCs/>
        </w:rPr>
      </w:pPr>
      <w:r w:rsidRPr="00DD48BD">
        <w:rPr>
          <w:b/>
          <w:bCs/>
          <w:i/>
          <w:iCs/>
        </w:rPr>
        <w:t xml:space="preserve">Rigid gender stereotyping and dominant forms of masculinity </w:t>
      </w:r>
      <w:r w:rsidR="00345D31">
        <w:t xml:space="preserve">(hierarchical views about the roles and capacities of men and women, which play out in both individual behaviour and in organisational and institutional practices, social </w:t>
      </w:r>
      <w:proofErr w:type="gramStart"/>
      <w:r w:rsidR="00345D31">
        <w:t>structures</w:t>
      </w:r>
      <w:proofErr w:type="gramEnd"/>
      <w:r w:rsidR="00345D31">
        <w:t xml:space="preserve"> and social and cultural norms)</w:t>
      </w:r>
      <w:r w:rsidR="00345D31" w:rsidRPr="00AF328D">
        <w:t>.</w:t>
      </w:r>
    </w:p>
    <w:p w14:paraId="2B8EC89E" w14:textId="0797A390" w:rsidR="00345D31" w:rsidRPr="00D84984" w:rsidRDefault="00DD48BD" w:rsidP="00B01F9C">
      <w:pPr>
        <w:pStyle w:val="ListParagraph"/>
        <w:widowControl/>
        <w:numPr>
          <w:ilvl w:val="0"/>
          <w:numId w:val="9"/>
        </w:numPr>
        <w:autoSpaceDE/>
        <w:autoSpaceDN/>
        <w:spacing w:before="0" w:after="120"/>
        <w:ind w:left="714" w:hanging="357"/>
        <w:rPr>
          <w:b/>
          <w:bCs/>
          <w:i/>
          <w:iCs/>
        </w:rPr>
      </w:pPr>
      <w:r>
        <w:rPr>
          <w:b/>
          <w:bCs/>
          <w:i/>
          <w:iCs/>
        </w:rPr>
        <w:t xml:space="preserve">Male </w:t>
      </w:r>
      <w:r w:rsidRPr="00DD48BD">
        <w:rPr>
          <w:b/>
          <w:bCs/>
          <w:i/>
          <w:iCs/>
        </w:rPr>
        <w:t xml:space="preserve">peer relations and cultures of masculinity that emphasise </w:t>
      </w:r>
      <w:r w:rsidRPr="00DD48BD">
        <w:rPr>
          <w:b/>
          <w:bCs/>
          <w:i/>
          <w:iCs/>
        </w:rPr>
        <w:lastRenderedPageBreak/>
        <w:t xml:space="preserve">aggression, </w:t>
      </w:r>
      <w:proofErr w:type="gramStart"/>
      <w:r w:rsidRPr="00DD48BD">
        <w:rPr>
          <w:b/>
          <w:bCs/>
          <w:i/>
          <w:iCs/>
        </w:rPr>
        <w:t>dominance</w:t>
      </w:r>
      <w:proofErr w:type="gramEnd"/>
      <w:r w:rsidRPr="00DD48BD">
        <w:rPr>
          <w:b/>
          <w:bCs/>
          <w:i/>
          <w:iCs/>
        </w:rPr>
        <w:t xml:space="preserve"> and control </w:t>
      </w:r>
      <w:r w:rsidR="00345D31">
        <w:t xml:space="preserve">(including male peer and organisational cultures that privilege men’s relationships with other men over those with </w:t>
      </w:r>
      <w:r w:rsidR="0098428F">
        <w:t>women and</w:t>
      </w:r>
      <w:r w:rsidR="00345D31">
        <w:t xml:space="preserve"> reinforce stereotypical and aggressive forms of masculinity)</w:t>
      </w:r>
      <w:r w:rsidR="00345D31" w:rsidRPr="00AF328D">
        <w:t>.</w:t>
      </w:r>
    </w:p>
    <w:p w14:paraId="236098B0" w14:textId="381ADF38" w:rsidR="00DD48BD" w:rsidRPr="00DD48BD" w:rsidRDefault="00DD48BD" w:rsidP="00DD48BD">
      <w:bookmarkStart w:id="31" w:name="_Hlk85459038"/>
      <w:r w:rsidRPr="00DD48BD">
        <w:t xml:space="preserve">While gender inequality is the necessary condition for violence against women, it is not the only or the most prominent factor in every context. Gender inequality cannot be disentangled from other social injustices because gendered inequality frequently intersects with other forms of structural and systemic discrimination, </w:t>
      </w:r>
      <w:proofErr w:type="gramStart"/>
      <w:r w:rsidRPr="00DD48BD">
        <w:t>inequality</w:t>
      </w:r>
      <w:proofErr w:type="gramEnd"/>
      <w:r w:rsidRPr="00DD48BD">
        <w:t xml:space="preserve"> and injustice. This means that the value afforded to women and men is not afforded in the same way for all women or all men, and that our society, </w:t>
      </w:r>
      <w:proofErr w:type="gramStart"/>
      <w:r w:rsidRPr="00DD48BD">
        <w:t>institutions</w:t>
      </w:r>
      <w:proofErr w:type="gramEnd"/>
      <w:r w:rsidRPr="00DD48BD">
        <w:t xml:space="preserve"> and organisations are shaped by those intersections. Gender inequality and these other forms of oppression play out in many ways and at many levels to create the social context for violence against women. This social context means that other forms of systemic social, </w:t>
      </w:r>
      <w:proofErr w:type="gramStart"/>
      <w:r w:rsidRPr="00DD48BD">
        <w:t>political</w:t>
      </w:r>
      <w:proofErr w:type="gramEnd"/>
      <w:r w:rsidRPr="00DD48BD">
        <w:t xml:space="preserve"> and economic discrimination and disadvantage intersect with gender inequality and play a role in influencing the prevalence and dynamics of violence against women (Our Watch 2021, pp. 28-29). </w:t>
      </w:r>
    </w:p>
    <w:p w14:paraId="4BCE4CE9" w14:textId="77777777" w:rsidR="00DD48BD" w:rsidRPr="00DD48BD" w:rsidRDefault="00DD48BD" w:rsidP="00DD48BD">
      <w:r w:rsidRPr="00DD48BD">
        <w:t xml:space="preserve"> </w:t>
      </w:r>
    </w:p>
    <w:p w14:paraId="44697098" w14:textId="77777777" w:rsidR="00DD48BD" w:rsidRPr="00DD48BD" w:rsidRDefault="00DD48BD" w:rsidP="00DD48BD">
      <w:r w:rsidRPr="00DD48BD">
        <w:t>There are also a range of ‘reinforcing factors’ which, while not sufficient in themselves to predict violence, can increase the probability, frequency or severity of violence against women. These reinforcing factors are:</w:t>
      </w:r>
    </w:p>
    <w:p w14:paraId="275DCA1F" w14:textId="1D982632" w:rsidR="00345D31" w:rsidRDefault="00345D31" w:rsidP="00345D31">
      <w:r w:rsidRPr="00AF5BC0">
        <w:t xml:space="preserve"> </w:t>
      </w:r>
    </w:p>
    <w:bookmarkEnd w:id="31"/>
    <w:p w14:paraId="6F3B43F0" w14:textId="3BFA569F" w:rsidR="00345D31" w:rsidRPr="00CA3B6F" w:rsidRDefault="00345D31" w:rsidP="0098428F">
      <w:pPr>
        <w:pStyle w:val="ListParagraph"/>
        <w:widowControl/>
        <w:numPr>
          <w:ilvl w:val="0"/>
          <w:numId w:val="41"/>
        </w:numPr>
        <w:autoSpaceDE/>
        <w:autoSpaceDN/>
        <w:spacing w:before="0" w:after="120"/>
      </w:pPr>
      <w:r w:rsidRPr="00E936AC">
        <w:rPr>
          <w:b/>
          <w:bCs/>
          <w:i/>
          <w:iCs/>
        </w:rPr>
        <w:t>Condoning of violence in general</w:t>
      </w:r>
      <w:r>
        <w:t xml:space="preserve"> (especially in conjunction with gendered norms and practices associated </w:t>
      </w:r>
      <w:r w:rsidR="005D480F">
        <w:t xml:space="preserve">with </w:t>
      </w:r>
      <w:r>
        <w:t xml:space="preserve">masculinity where our society normalises, </w:t>
      </w:r>
      <w:proofErr w:type="gramStart"/>
      <w:r>
        <w:t>condones</w:t>
      </w:r>
      <w:proofErr w:type="gramEnd"/>
      <w:r>
        <w:t xml:space="preserve"> and valorises violence that is masculinised).</w:t>
      </w:r>
    </w:p>
    <w:p w14:paraId="4FAA32F7" w14:textId="77777777" w:rsidR="00345D31" w:rsidRPr="00471017" w:rsidRDefault="00345D31" w:rsidP="0098428F">
      <w:pPr>
        <w:pStyle w:val="ListParagraph"/>
        <w:widowControl/>
        <w:numPr>
          <w:ilvl w:val="0"/>
          <w:numId w:val="41"/>
        </w:numPr>
        <w:autoSpaceDE/>
        <w:autoSpaceDN/>
        <w:spacing w:before="0" w:after="120"/>
        <w:ind w:left="714" w:hanging="357"/>
      </w:pPr>
      <w:r w:rsidRPr="00412C10">
        <w:rPr>
          <w:b/>
          <w:bCs/>
          <w:i/>
          <w:iCs/>
        </w:rPr>
        <w:t>Experience of, and exposure to, violence</w:t>
      </w:r>
      <w:r>
        <w:t xml:space="preserve"> (including gendered violence but also violence in childhood and other forms of violence such as racist violence</w:t>
      </w:r>
      <w:r w:rsidRPr="009E7F82">
        <w:t xml:space="preserve">, </w:t>
      </w:r>
      <w:r w:rsidRPr="00471017">
        <w:t>lateral and community violence</w:t>
      </w:r>
      <w:r>
        <w:t xml:space="preserve">, armed </w:t>
      </w:r>
      <w:proofErr w:type="gramStart"/>
      <w:r>
        <w:t>conflict</w:t>
      </w:r>
      <w:proofErr w:type="gramEnd"/>
      <w:r>
        <w:t xml:space="preserve"> or war</w:t>
      </w:r>
      <w:r w:rsidRPr="00471017">
        <w:t>).</w:t>
      </w:r>
    </w:p>
    <w:p w14:paraId="4F721368" w14:textId="79D2F11D" w:rsidR="00345D31" w:rsidRPr="00471017" w:rsidRDefault="00DD5A61" w:rsidP="0098428F">
      <w:pPr>
        <w:pStyle w:val="ListParagraph"/>
        <w:widowControl/>
        <w:numPr>
          <w:ilvl w:val="0"/>
          <w:numId w:val="41"/>
        </w:numPr>
        <w:autoSpaceDE/>
        <w:autoSpaceDN/>
        <w:spacing w:before="0" w:after="120"/>
        <w:ind w:left="714" w:hanging="357"/>
      </w:pPr>
      <w:r w:rsidRPr="00DD5A61">
        <w:rPr>
          <w:b/>
          <w:bCs/>
          <w:i/>
          <w:iCs/>
        </w:rPr>
        <w:t xml:space="preserve">Factors that weaken prosocial behaviour </w:t>
      </w:r>
      <w:r w:rsidR="00345D31" w:rsidRPr="00471017">
        <w:t xml:space="preserve">(specifically the interaction between social norms relating to alcohol, and social norms relating to gender, </w:t>
      </w:r>
      <w:r w:rsidR="00345D31">
        <w:t>which</w:t>
      </w:r>
      <w:r w:rsidR="00345D31" w:rsidRPr="00471017">
        <w:t xml:space="preserve"> can increase the likelihood, </w:t>
      </w:r>
      <w:proofErr w:type="gramStart"/>
      <w:r w:rsidR="00345D31" w:rsidRPr="00471017">
        <w:t>frequency</w:t>
      </w:r>
      <w:proofErr w:type="gramEnd"/>
      <w:r w:rsidR="00345D31" w:rsidRPr="00471017">
        <w:t xml:space="preserve"> or severity of violence against women, </w:t>
      </w:r>
      <w:r w:rsidR="00345D31">
        <w:t>rather than</w:t>
      </w:r>
      <w:r w:rsidR="00345D31" w:rsidRPr="00471017">
        <w:t xml:space="preserve"> just the consumption of alcohol itself).</w:t>
      </w:r>
    </w:p>
    <w:p w14:paraId="7556A33A" w14:textId="0321556D" w:rsidR="00345D31" w:rsidRPr="00471017" w:rsidRDefault="00DD5A61" w:rsidP="0098428F">
      <w:pPr>
        <w:pStyle w:val="ListParagraph"/>
        <w:widowControl/>
        <w:numPr>
          <w:ilvl w:val="0"/>
          <w:numId w:val="41"/>
        </w:numPr>
        <w:autoSpaceDE/>
        <w:autoSpaceDN/>
        <w:spacing w:before="0" w:after="120"/>
        <w:ind w:left="714" w:hanging="357"/>
      </w:pPr>
      <w:r w:rsidRPr="00DD5A61">
        <w:rPr>
          <w:b/>
          <w:bCs/>
          <w:i/>
          <w:iCs/>
        </w:rPr>
        <w:t xml:space="preserve">Resistance and backlash to prevention and gender equality efforts </w:t>
      </w:r>
      <w:r w:rsidR="00345D31">
        <w:t>(explained further below).</w:t>
      </w:r>
      <w:r w:rsidR="00345D31" w:rsidRPr="00471017">
        <w:t xml:space="preserve"> </w:t>
      </w:r>
    </w:p>
    <w:p w14:paraId="2010FA2D" w14:textId="26BF4ECE" w:rsidR="00FD26D9" w:rsidRDefault="00FD26D9" w:rsidP="00FD26D9">
      <w:r>
        <w:t>The reinforcing factors are often</w:t>
      </w:r>
      <w:r w:rsidRPr="004D2942">
        <w:t xml:space="preserve"> misidentified as </w:t>
      </w:r>
      <w:r>
        <w:t>causes of men’s</w:t>
      </w:r>
      <w:r w:rsidRPr="004D2942">
        <w:t xml:space="preserve"> violence </w:t>
      </w:r>
      <w:r>
        <w:t>against women and used to employ and justify resistance to</w:t>
      </w:r>
      <w:r>
        <w:rPr>
          <w:i/>
          <w:iCs/>
        </w:rPr>
        <w:t xml:space="preserve"> </w:t>
      </w:r>
      <w:r>
        <w:t xml:space="preserve">primary prevention of violence against women approaches. For example, alcohol and other substance use and poor mental health are sometimes held up as justifications for violence where perpetrators are framed as ‘good men’ whose violence was outside their ‘normal behaviour’ (as discussed further </w:t>
      </w:r>
      <w:r w:rsidR="002166A0">
        <w:t>on pages 12-17</w:t>
      </w:r>
      <w:r>
        <w:t xml:space="preserve">). While the reinforcing factors are </w:t>
      </w:r>
      <w:r w:rsidR="005D480F">
        <w:t xml:space="preserve">an </w:t>
      </w:r>
      <w:r>
        <w:t xml:space="preserve">important part of the picture and can play a role in or contribute to men’s violence against women, they are not sufficient in and of themselves to explain this violence. When viewed in isolation the reinforcing factors divert attention away from where it needs to be – on the factors that are </w:t>
      </w:r>
      <w:r w:rsidRPr="00FF53D2">
        <w:rPr>
          <w:i/>
          <w:iCs/>
        </w:rPr>
        <w:t>driving</w:t>
      </w:r>
      <w:r>
        <w:t xml:space="preserve"> this violence. </w:t>
      </w:r>
    </w:p>
    <w:p w14:paraId="1210FE4D" w14:textId="30F88C4B" w:rsidR="00FD26D9" w:rsidRDefault="00FD26D9" w:rsidP="00FD26D9"/>
    <w:p w14:paraId="4C9D27C4" w14:textId="74A352AE" w:rsidR="00FD26D9" w:rsidRDefault="00FD26D9" w:rsidP="00FD26D9">
      <w:r>
        <w:t>A focus on the drivers of violence against women is key to a primary prevention approach – it highlights the need to work across the whole population and across the socioecological model and it situates the prevention of violence as</w:t>
      </w:r>
      <w:r w:rsidRPr="004D2942">
        <w:t xml:space="preserve"> a structural and societal responsibility</w:t>
      </w:r>
      <w:r>
        <w:t xml:space="preserve"> to address the </w:t>
      </w:r>
      <w:r>
        <w:lastRenderedPageBreak/>
        <w:t>unequal gendered norms, practices and structures that maintain gender inequality in public and private life. It is in this context that this report focuses on issues of resistance and backlash – both as a reinforcing factor, but also as inextricably linked to the drivers themselves.</w:t>
      </w:r>
    </w:p>
    <w:p w14:paraId="3DE5FE04" w14:textId="60E5B683" w:rsidR="00306B5E" w:rsidRDefault="007E4EF0" w:rsidP="00FD26D9">
      <w:pPr>
        <w:contextualSpacing/>
      </w:pPr>
      <w:r>
        <w:rPr>
          <w:noProof/>
        </w:rPr>
        <mc:AlternateContent>
          <mc:Choice Requires="wpg">
            <w:drawing>
              <wp:anchor distT="45720" distB="45720" distL="182880" distR="182880" simplePos="0" relativeHeight="251715584" behindDoc="0" locked="0" layoutInCell="1" allowOverlap="1" wp14:anchorId="604C909C" wp14:editId="25F144BC">
                <wp:simplePos x="0" y="0"/>
                <wp:positionH relativeFrom="margin">
                  <wp:posOffset>-92875</wp:posOffset>
                </wp:positionH>
                <wp:positionV relativeFrom="margin">
                  <wp:posOffset>8213588</wp:posOffset>
                </wp:positionV>
                <wp:extent cx="6626059" cy="754573"/>
                <wp:effectExtent l="0" t="0" r="0" b="7620"/>
                <wp:wrapSquare wrapText="bothSides"/>
                <wp:docPr id="198" name="Group 198"/>
                <wp:cNvGraphicFramePr/>
                <a:graphic xmlns:a="http://schemas.openxmlformats.org/drawingml/2006/main">
                  <a:graphicData uri="http://schemas.microsoft.com/office/word/2010/wordprocessingGroup">
                    <wpg:wgp>
                      <wpg:cNvGrpSpPr/>
                      <wpg:grpSpPr>
                        <a:xfrm>
                          <a:off x="0" y="0"/>
                          <a:ext cx="6626059" cy="754573"/>
                          <a:chOff x="-47720" y="468062"/>
                          <a:chExt cx="3615168" cy="807612"/>
                        </a:xfrm>
                      </wpg:grpSpPr>
                      <wps:wsp>
                        <wps:cNvPr id="199" name="Rectangle 199"/>
                        <wps:cNvSpPr/>
                        <wps:spPr>
                          <a:xfrm>
                            <a:off x="-47720" y="468062"/>
                            <a:ext cx="3567448" cy="4571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9BDC42" w14:textId="77777777" w:rsidR="007F50DB" w:rsidRPr="00FD26D9" w:rsidRDefault="007F50DB">
                              <w:pPr>
                                <w:jc w:val="center"/>
                                <w:rPr>
                                  <w:rFonts w:asciiTheme="majorHAnsi" w:eastAsiaTheme="majorEastAsia" w:hAnsiTheme="majorHAnsi" w:cstheme="majorBidi"/>
                                  <w:color w:val="F79646" w:themeColor="accent6"/>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479160"/>
                            <a:ext cx="3567448" cy="796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0AB2B" w14:textId="3287CF84" w:rsidR="007F50DB" w:rsidRDefault="007F50DB" w:rsidP="00FD26D9">
                              <w:pPr>
                                <w:pStyle w:val="Caption"/>
                                <w:rPr>
                                  <w:color w:val="F79646" w:themeColor="accent6"/>
                                  <w:sz w:val="22"/>
                                  <w:szCs w:val="22"/>
                                </w:rPr>
                              </w:pPr>
                              <w:bookmarkStart w:id="32" w:name="_Toc94771644"/>
                              <w:r w:rsidRPr="00FD26D9">
                                <w:rPr>
                                  <w:color w:val="F79646" w:themeColor="accent6"/>
                                  <w:sz w:val="22"/>
                                  <w:szCs w:val="22"/>
                                </w:rPr>
                                <w:t xml:space="preserve">Figure </w:t>
                              </w:r>
                              <w:r w:rsidRPr="00FD26D9">
                                <w:rPr>
                                  <w:color w:val="F79646" w:themeColor="accent6"/>
                                  <w:sz w:val="22"/>
                                  <w:szCs w:val="22"/>
                                  <w:shd w:val="clear" w:color="auto" w:fill="E6E6E6"/>
                                </w:rPr>
                                <w:fldChar w:fldCharType="begin"/>
                              </w:r>
                              <w:r w:rsidRPr="00FD26D9">
                                <w:rPr>
                                  <w:color w:val="F79646" w:themeColor="accent6"/>
                                  <w:sz w:val="22"/>
                                  <w:szCs w:val="22"/>
                                </w:rPr>
                                <w:instrText xml:space="preserve"> SEQ Figure \* ARABIC </w:instrText>
                              </w:r>
                              <w:r w:rsidRPr="00FD26D9">
                                <w:rPr>
                                  <w:color w:val="F79646" w:themeColor="accent6"/>
                                  <w:sz w:val="22"/>
                                  <w:szCs w:val="22"/>
                                  <w:shd w:val="clear" w:color="auto" w:fill="E6E6E6"/>
                                </w:rPr>
                                <w:fldChar w:fldCharType="separate"/>
                              </w:r>
                              <w:r w:rsidR="00D93EBF">
                                <w:rPr>
                                  <w:noProof/>
                                  <w:color w:val="F79646" w:themeColor="accent6"/>
                                  <w:sz w:val="22"/>
                                  <w:szCs w:val="22"/>
                                </w:rPr>
                                <w:t>1</w:t>
                              </w:r>
                              <w:r w:rsidRPr="00FD26D9">
                                <w:rPr>
                                  <w:color w:val="F79646" w:themeColor="accent6"/>
                                  <w:sz w:val="22"/>
                                  <w:szCs w:val="22"/>
                                  <w:shd w:val="clear" w:color="auto" w:fill="E6E6E6"/>
                                </w:rPr>
                                <w:fldChar w:fldCharType="end"/>
                              </w:r>
                              <w:r w:rsidRPr="00FD26D9">
                                <w:rPr>
                                  <w:color w:val="F79646" w:themeColor="accent6"/>
                                  <w:sz w:val="22"/>
                                  <w:szCs w:val="22"/>
                                </w:rPr>
                                <w:t xml:space="preserve"> The interactions between gendered drivers of violence against women and the reinforcing factors (Our Watch </w:t>
                              </w:r>
                              <w:r w:rsidR="00C2603C">
                                <w:rPr>
                                  <w:color w:val="F79646" w:themeColor="accent6"/>
                                  <w:sz w:val="22"/>
                                  <w:szCs w:val="22"/>
                                </w:rPr>
                                <w:t>2021</w:t>
                              </w:r>
                              <w:r w:rsidRPr="00FD26D9">
                                <w:rPr>
                                  <w:color w:val="F79646" w:themeColor="accent6"/>
                                  <w:sz w:val="22"/>
                                  <w:szCs w:val="22"/>
                                </w:rPr>
                                <w:t>)</w:t>
                              </w:r>
                              <w:bookmarkEnd w:id="32"/>
                            </w:p>
                            <w:p w14:paraId="204ECF81" w14:textId="0A7B3845" w:rsidR="007F50DB" w:rsidRDefault="007F50DB" w:rsidP="00FD26D9"/>
                            <w:p w14:paraId="342A6F95" w14:textId="77777777" w:rsidR="007F50DB" w:rsidRPr="00FD26D9" w:rsidRDefault="007F50DB" w:rsidP="00FD26D9"/>
                            <w:p w14:paraId="3E5DC996" w14:textId="1D577B56" w:rsidR="007F50DB" w:rsidRDefault="007F50DB">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4C909C" id="Group 198" o:spid="_x0000_s1029" style="position:absolute;margin-left:-7.3pt;margin-top:646.75pt;width:521.75pt;height:59.4pt;z-index:251715584;mso-wrap-distance-left:14.4pt;mso-wrap-distance-top:3.6pt;mso-wrap-distance-right:14.4pt;mso-wrap-distance-bottom:3.6pt;mso-position-horizontal-relative:margin;mso-position-vertical-relative:margin;mso-width-relative:margin;mso-height-relative:margin" coordorigin="-477,4680" coordsize="36151,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">
                <v:rect id="Rectangle 199" o:spid="_x0000_s1030" style="position:absolute;left:-477;top:4680;width:3567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" fillcolor="#f79646 [3209]" stroked="f" strokeweight="2pt">
                  <v:textbox>
                    <w:txbxContent>
                      <w:p w14:paraId="689BDC42" w14:textId="77777777" w:rsidR="007F50DB" w:rsidRPr="00FD26D9" w:rsidRDefault="007F50DB">
                        <w:pPr>
                          <w:jc w:val="center"/>
                          <w:rPr>
                            <w:rFonts w:asciiTheme="majorHAnsi" w:eastAsiaTheme="majorEastAsia" w:hAnsiTheme="majorHAnsi" w:cstheme="majorBidi"/>
                            <w:color w:val="F79646" w:themeColor="accent6"/>
                            <w:szCs w:val="28"/>
                          </w:rPr>
                        </w:pPr>
                      </w:p>
                    </w:txbxContent>
                  </v:textbox>
                </v:rect>
                <v:shape id="Text Box 200" o:spid="_x0000_s1031" type="#_x0000_t202" style="position:absolute;top:4791;width:35674;height:7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13D0AB2B" w14:textId="3287CF84" w:rsidR="007F50DB" w:rsidRDefault="007F50DB" w:rsidP="00FD26D9">
                        <w:pPr>
                          <w:pStyle w:val="Caption"/>
                          <w:rPr>
                            <w:color w:val="F79646" w:themeColor="accent6"/>
                            <w:sz w:val="22"/>
                            <w:szCs w:val="22"/>
                          </w:rPr>
                        </w:pPr>
                        <w:bookmarkStart w:id="34" w:name="_Toc94771644"/>
                        <w:r w:rsidRPr="00FD26D9">
                          <w:rPr>
                            <w:color w:val="F79646" w:themeColor="accent6"/>
                            <w:sz w:val="22"/>
                            <w:szCs w:val="22"/>
                          </w:rPr>
                          <w:t xml:space="preserve">Figure </w:t>
                        </w:r>
                        <w:r w:rsidRPr="00FD26D9">
                          <w:rPr>
                            <w:color w:val="F79646" w:themeColor="accent6"/>
                            <w:sz w:val="22"/>
                            <w:szCs w:val="22"/>
                            <w:shd w:val="clear" w:color="auto" w:fill="E6E6E6"/>
                          </w:rPr>
                          <w:fldChar w:fldCharType="begin"/>
                        </w:r>
                        <w:r w:rsidRPr="00FD26D9">
                          <w:rPr>
                            <w:color w:val="F79646" w:themeColor="accent6"/>
                            <w:sz w:val="22"/>
                            <w:szCs w:val="22"/>
                          </w:rPr>
                          <w:instrText xml:space="preserve"> SEQ Figure \* ARABIC </w:instrText>
                        </w:r>
                        <w:r w:rsidRPr="00FD26D9">
                          <w:rPr>
                            <w:color w:val="F79646" w:themeColor="accent6"/>
                            <w:sz w:val="22"/>
                            <w:szCs w:val="22"/>
                            <w:shd w:val="clear" w:color="auto" w:fill="E6E6E6"/>
                          </w:rPr>
                          <w:fldChar w:fldCharType="separate"/>
                        </w:r>
                        <w:r w:rsidR="00D93EBF">
                          <w:rPr>
                            <w:noProof/>
                            <w:color w:val="F79646" w:themeColor="accent6"/>
                            <w:sz w:val="22"/>
                            <w:szCs w:val="22"/>
                          </w:rPr>
                          <w:t>1</w:t>
                        </w:r>
                        <w:r w:rsidRPr="00FD26D9">
                          <w:rPr>
                            <w:color w:val="F79646" w:themeColor="accent6"/>
                            <w:sz w:val="22"/>
                            <w:szCs w:val="22"/>
                            <w:shd w:val="clear" w:color="auto" w:fill="E6E6E6"/>
                          </w:rPr>
                          <w:fldChar w:fldCharType="end"/>
                        </w:r>
                        <w:r w:rsidRPr="00FD26D9">
                          <w:rPr>
                            <w:color w:val="F79646" w:themeColor="accent6"/>
                            <w:sz w:val="22"/>
                            <w:szCs w:val="22"/>
                          </w:rPr>
                          <w:t xml:space="preserve"> The interactions between gendered drivers of violence against women and the reinforcing factors (Our Watch </w:t>
                        </w:r>
                        <w:r w:rsidR="00C2603C">
                          <w:rPr>
                            <w:color w:val="F79646" w:themeColor="accent6"/>
                            <w:sz w:val="22"/>
                            <w:szCs w:val="22"/>
                          </w:rPr>
                          <w:t>2021</w:t>
                        </w:r>
                        <w:r w:rsidRPr="00FD26D9">
                          <w:rPr>
                            <w:color w:val="F79646" w:themeColor="accent6"/>
                            <w:sz w:val="22"/>
                            <w:szCs w:val="22"/>
                          </w:rPr>
                          <w:t>)</w:t>
                        </w:r>
                        <w:bookmarkEnd w:id="34"/>
                      </w:p>
                      <w:p w14:paraId="204ECF81" w14:textId="0A7B3845" w:rsidR="007F50DB" w:rsidRDefault="007F50DB" w:rsidP="00FD26D9"/>
                      <w:p w14:paraId="342A6F95" w14:textId="77777777" w:rsidR="007F50DB" w:rsidRPr="00FD26D9" w:rsidRDefault="007F50DB" w:rsidP="00FD26D9"/>
                      <w:p w14:paraId="3E5DC996" w14:textId="1D577B56" w:rsidR="007F50DB" w:rsidRDefault="007F50DB">
                        <w:pPr>
                          <w:rPr>
                            <w:caps/>
                            <w:color w:val="4F81BD" w:themeColor="accent1"/>
                            <w:sz w:val="26"/>
                            <w:szCs w:val="26"/>
                          </w:rPr>
                        </w:pPr>
                      </w:p>
                    </w:txbxContent>
                  </v:textbox>
                </v:shape>
                <w10:wrap type="square" anchorx="margin" anchory="margin"/>
              </v:group>
            </w:pict>
          </mc:Fallback>
        </mc:AlternateContent>
      </w:r>
      <w:r w:rsidR="00607775">
        <w:rPr>
          <w:noProof/>
        </w:rPr>
        <w:drawing>
          <wp:anchor distT="0" distB="0" distL="114300" distR="114300" simplePos="0" relativeHeight="251726848" behindDoc="0" locked="0" layoutInCell="1" allowOverlap="1" wp14:anchorId="40396C9B" wp14:editId="6797AAA9">
            <wp:simplePos x="0" y="0"/>
            <wp:positionH relativeFrom="page">
              <wp:align>center</wp:align>
            </wp:positionH>
            <wp:positionV relativeFrom="paragraph">
              <wp:posOffset>270395</wp:posOffset>
            </wp:positionV>
            <wp:extent cx="4857750" cy="66827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57750" cy="6682740"/>
                    </a:xfrm>
                    <a:prstGeom prst="rect">
                      <a:avLst/>
                    </a:prstGeom>
                  </pic:spPr>
                </pic:pic>
              </a:graphicData>
            </a:graphic>
            <wp14:sizeRelH relativeFrom="margin">
              <wp14:pctWidth>0</wp14:pctWidth>
            </wp14:sizeRelH>
            <wp14:sizeRelV relativeFrom="margin">
              <wp14:pctHeight>0</wp14:pctHeight>
            </wp14:sizeRelV>
          </wp:anchor>
        </w:drawing>
      </w:r>
      <w:r w:rsidR="00FD26D9">
        <w:t xml:space="preserve">In contrast to an individualistic approach to </w:t>
      </w:r>
      <w:r w:rsidR="00FD26D9">
        <w:t>changing violent behaviour</w:t>
      </w:r>
      <w:r w:rsidR="005D480F">
        <w:t>,</w:t>
      </w:r>
      <w:r w:rsidR="00FD26D9">
        <w:t xml:space="preserve"> a primary</w:t>
      </w:r>
      <w:r w:rsidR="00FD26D9" w:rsidRPr="00437FB5">
        <w:t xml:space="preserve"> prevention </w:t>
      </w:r>
      <w:r w:rsidR="00FD26D9">
        <w:t>approach</w:t>
      </w:r>
      <w:r w:rsidR="00FD26D9" w:rsidRPr="00437FB5">
        <w:t xml:space="preserve"> holds to account entire groups of people for the prevention of violence. </w:t>
      </w:r>
      <w:r w:rsidR="00FD26D9">
        <w:t xml:space="preserve">It demands a social response to a social </w:t>
      </w:r>
      <w:r w:rsidR="007C6508">
        <w:t>problem and</w:t>
      </w:r>
      <w:r w:rsidR="00FD26D9">
        <w:t xml:space="preserve"> seeks to engage the whole population in the task of shifting the underlying drivers of violence. </w:t>
      </w:r>
      <w:r w:rsidR="00FD26D9" w:rsidRPr="00437FB5">
        <w:t xml:space="preserve">While many respond positively and recognise the </w:t>
      </w:r>
      <w:r w:rsidR="00FD26D9" w:rsidRPr="00437FB5">
        <w:lastRenderedPageBreak/>
        <w:t xml:space="preserve">need to ‘play their part’, this </w:t>
      </w:r>
      <w:r w:rsidR="00FD26D9">
        <w:t xml:space="preserve">population-wide </w:t>
      </w:r>
      <w:r w:rsidR="00FD26D9" w:rsidRPr="00437FB5">
        <w:t xml:space="preserve">approach also elicits a breadth of resistance, ranging from denial that gender inequality is a problem let alone a causal factor of violence against women, to backlash in the form of threats of violence (e.g., death threats and sexual assault) (Our Watch 2019). In other words, </w:t>
      </w:r>
      <w:r w:rsidR="00FD26D9">
        <w:t xml:space="preserve">many people tend to view violence against women </w:t>
      </w:r>
      <w:proofErr w:type="gramStart"/>
      <w:r w:rsidR="00FD26D9">
        <w:t>as a result of</w:t>
      </w:r>
      <w:proofErr w:type="gramEnd"/>
      <w:r w:rsidR="00FD26D9">
        <w:t xml:space="preserve"> individual pathology </w:t>
      </w:r>
      <w:r w:rsidR="00FD26D9" w:rsidRPr="00C7793C">
        <w:rPr>
          <w:i/>
          <w:iCs/>
        </w:rPr>
        <w:t>only</w:t>
      </w:r>
      <w:r w:rsidR="00FD26D9">
        <w:rPr>
          <w:i/>
          <w:iCs/>
        </w:rPr>
        <w:t>,</w:t>
      </w:r>
      <w:r w:rsidR="00FD26D9">
        <w:t xml:space="preserve"> rather than</w:t>
      </w:r>
      <w:r w:rsidR="00FD26D9" w:rsidRPr="00437FB5">
        <w:t xml:space="preserve"> gendered structures, norms and practices in which the larger group of people and communities—especially men who are non-violent— are complicit (and sometimes colluders). </w:t>
      </w:r>
      <w:r w:rsidR="00FD26D9">
        <w:t xml:space="preserve">Hence, people are disinclined to accept primary prevention efforts based on these broader explanations. </w:t>
      </w:r>
    </w:p>
    <w:p w14:paraId="734F80F9" w14:textId="77777777" w:rsidR="00927F49" w:rsidRDefault="00927F49" w:rsidP="009D2D81">
      <w:pPr>
        <w:contextualSpacing/>
      </w:pPr>
    </w:p>
    <w:p w14:paraId="3F71FFD1" w14:textId="1BF4792E" w:rsidR="009D2D81" w:rsidRDefault="009D2D81" w:rsidP="009D2D81">
      <w:pPr>
        <w:contextualSpacing/>
      </w:pPr>
      <w:r>
        <w:t>As discussed above, b</w:t>
      </w:r>
      <w:r w:rsidRPr="00437FB5">
        <w:t>acklash</w:t>
      </w:r>
      <w:r w:rsidR="005D480F">
        <w:t xml:space="preserve"> </w:t>
      </w:r>
      <w:r w:rsidRPr="00437FB5">
        <w:t xml:space="preserve">—where male dominance, power or status is challenged— is identified in </w:t>
      </w:r>
      <w:r w:rsidRPr="00437FB5">
        <w:rPr>
          <w:i/>
          <w:iCs/>
        </w:rPr>
        <w:t xml:space="preserve">Change the story </w:t>
      </w:r>
      <w:r w:rsidRPr="00437FB5">
        <w:t xml:space="preserve">as one of </w:t>
      </w:r>
      <w:r w:rsidR="00DD5A61">
        <w:t>four</w:t>
      </w:r>
      <w:r w:rsidRPr="00437FB5">
        <w:t xml:space="preserve"> factors that reinforce the gendered drivers of violence against women. When power relations are hierarchical and dynamics that are perceived as ‘natural’, ‘traditional’ or ‘biological’ come under threat due to </w:t>
      </w:r>
      <w:r>
        <w:t xml:space="preserve">social </w:t>
      </w:r>
      <w:r w:rsidRPr="00437FB5">
        <w:t xml:space="preserve">change, violence or the threat of violence may be </w:t>
      </w:r>
      <w:r>
        <w:t xml:space="preserve">seen as a justified </w:t>
      </w:r>
      <w:r w:rsidRPr="00437FB5">
        <w:t xml:space="preserve">response </w:t>
      </w:r>
      <w:r>
        <w:t xml:space="preserve">– one that seeks </w:t>
      </w:r>
      <w:r w:rsidRPr="00437FB5">
        <w:t xml:space="preserve">to uphold the ‘natural order of </w:t>
      </w:r>
      <w:proofErr w:type="gramStart"/>
      <w:r w:rsidRPr="00437FB5">
        <w:t>things’</w:t>
      </w:r>
      <w:proofErr w:type="gramEnd"/>
      <w:r w:rsidRPr="00437FB5">
        <w:t xml:space="preserve">. </w:t>
      </w:r>
    </w:p>
    <w:p w14:paraId="44EB94E6" w14:textId="35461F04" w:rsidR="009D2D81" w:rsidRDefault="009D2D81" w:rsidP="009D2D81">
      <w:pPr>
        <w:contextualSpacing/>
      </w:pPr>
    </w:p>
    <w:p w14:paraId="76E0F19C" w14:textId="39E54878" w:rsidR="009D2D81" w:rsidRDefault="009D2D81" w:rsidP="009D2D81">
      <w:pPr>
        <w:contextualSpacing/>
      </w:pPr>
      <w:r w:rsidRPr="00437FB5">
        <w:t>For example, men who hold more stereotypical beliefs around their role as providers (i.e., ‘breadwinner masculinities’) may be violent towards their partners who have more economic and social resources (e.g., higher income, employment, social and economic status etc.) (Our Watch, 20</w:t>
      </w:r>
      <w:r w:rsidR="00C2603C">
        <w:t>21</w:t>
      </w:r>
      <w:r w:rsidRPr="00437FB5">
        <w:t xml:space="preserve">, p. </w:t>
      </w:r>
      <w:r w:rsidR="00C2603C">
        <w:t>32-33</w:t>
      </w:r>
      <w:r w:rsidRPr="00437FB5">
        <w:t xml:space="preserve">; see also True, 2012). For example, Zhang and </w:t>
      </w:r>
      <w:proofErr w:type="spellStart"/>
      <w:r w:rsidRPr="00437FB5">
        <w:t>Breunig</w:t>
      </w:r>
      <w:proofErr w:type="spellEnd"/>
      <w:r w:rsidRPr="00437FB5">
        <w:t xml:space="preserve"> (2021)</w:t>
      </w:r>
      <w:r>
        <w:t xml:space="preserve"> find</w:t>
      </w:r>
      <w:r w:rsidRPr="00437FB5">
        <w:t xml:space="preserve"> that when individual relationships violated</w:t>
      </w:r>
      <w:r>
        <w:t xml:space="preserve"> the</w:t>
      </w:r>
      <w:r w:rsidRPr="00437FB5">
        <w:t xml:space="preserve"> </w:t>
      </w:r>
      <w:r>
        <w:t>‘</w:t>
      </w:r>
      <w:r w:rsidRPr="00437FB5">
        <w:t>breadwinner norm</w:t>
      </w:r>
      <w:r>
        <w:t>’</w:t>
      </w:r>
      <w:r w:rsidRPr="00437FB5">
        <w:t xml:space="preserve"> </w:t>
      </w:r>
      <w:r>
        <w:t xml:space="preserve">(the assumption </w:t>
      </w:r>
      <w:r w:rsidRPr="00437FB5">
        <w:t>that men should be breadwinners and earn more than women</w:t>
      </w:r>
      <w:r>
        <w:t>)</w:t>
      </w:r>
      <w:r w:rsidRPr="00437FB5">
        <w:t xml:space="preserve">, there was a 35% increase in the likelihood of intimate partner violence and a 20% increase in emotional </w:t>
      </w:r>
      <w:r w:rsidRPr="00437FB5">
        <w:t xml:space="preserve">abuse against women. </w:t>
      </w:r>
    </w:p>
    <w:p w14:paraId="1474A49B" w14:textId="77777777" w:rsidR="009D2D81" w:rsidRDefault="009D2D81" w:rsidP="009D2D81">
      <w:pPr>
        <w:contextualSpacing/>
      </w:pPr>
    </w:p>
    <w:p w14:paraId="5DB77E1E" w14:textId="2EA1E901" w:rsidR="009D2D81" w:rsidRPr="00437FB5" w:rsidRDefault="009D2D81" w:rsidP="009D2D81">
      <w:pPr>
        <w:contextualSpacing/>
      </w:pPr>
      <w:r w:rsidRPr="00437FB5">
        <w:t>Backlash not only manifests among individuals, but within communities, workplaces, organisations, institutions, policies, governments, media</w:t>
      </w:r>
      <w:r>
        <w:t xml:space="preserve"> </w:t>
      </w:r>
      <w:r w:rsidRPr="00437FB5">
        <w:t xml:space="preserve">reporting, and so on. Whenever and </w:t>
      </w:r>
      <w:proofErr w:type="gramStart"/>
      <w:r w:rsidRPr="00437FB5">
        <w:t>wherever</w:t>
      </w:r>
      <w:proofErr w:type="gramEnd"/>
      <w:r w:rsidRPr="00437FB5">
        <w:t xml:space="preserve"> there are attempts at changing existing power dynamics and status quo, resistance and backlash is present. </w:t>
      </w:r>
    </w:p>
    <w:p w14:paraId="43ECB14F" w14:textId="74FF5E8E" w:rsidR="00FD26D9" w:rsidRDefault="00FD26D9" w:rsidP="00FD26D9"/>
    <w:p w14:paraId="5CCF6916" w14:textId="77777777" w:rsidR="009D2D81" w:rsidRDefault="009D2D81" w:rsidP="009D2D81">
      <w:pPr>
        <w:contextualSpacing/>
      </w:pPr>
      <w:r w:rsidRPr="00437FB5">
        <w:t xml:space="preserve">There is a growing body of Australian and international research and evidence that identifies the multifaceted, </w:t>
      </w:r>
      <w:proofErr w:type="gramStart"/>
      <w:r w:rsidRPr="00437FB5">
        <w:t>complex</w:t>
      </w:r>
      <w:proofErr w:type="gramEnd"/>
      <w:r w:rsidRPr="00437FB5">
        <w:t xml:space="preserve"> and contextual nature of resistance and backlash to primary prevention approaches to preventing violence against wome</w:t>
      </w:r>
      <w:r>
        <w:t>n and</w:t>
      </w:r>
      <w:r w:rsidRPr="00437FB5">
        <w:t xml:space="preserve"> gender equality initiatives</w:t>
      </w:r>
      <w:r>
        <w:t xml:space="preserve"> more broadly </w:t>
      </w:r>
      <w:r w:rsidRPr="00437FB5">
        <w:t>(Flood</w:t>
      </w:r>
      <w:r>
        <w:t xml:space="preserve">, </w:t>
      </w:r>
      <w:proofErr w:type="spellStart"/>
      <w:r>
        <w:t>Dragiewicz</w:t>
      </w:r>
      <w:proofErr w:type="spellEnd"/>
      <w:r>
        <w:t xml:space="preserve"> and Pease</w:t>
      </w:r>
      <w:r w:rsidRPr="00437FB5">
        <w:t xml:space="preserve"> 2018, 2020; </w:t>
      </w:r>
      <w:r>
        <w:t xml:space="preserve">Flood, O’Donnell, Brewin and </w:t>
      </w:r>
      <w:proofErr w:type="spellStart"/>
      <w:r>
        <w:t>Myors</w:t>
      </w:r>
      <w:proofErr w:type="spellEnd"/>
      <w:r>
        <w:t xml:space="preserve"> </w:t>
      </w:r>
      <w:r w:rsidRPr="00437FB5">
        <w:t xml:space="preserve">2021). </w:t>
      </w:r>
    </w:p>
    <w:p w14:paraId="2EF75BBF" w14:textId="77777777" w:rsidR="009D2D81" w:rsidRDefault="009D2D81" w:rsidP="009D2D81">
      <w:pPr>
        <w:contextualSpacing/>
      </w:pPr>
    </w:p>
    <w:p w14:paraId="56FA5793" w14:textId="1BFF5F4A" w:rsidR="009D2D81" w:rsidRPr="00437FB5" w:rsidRDefault="009D2D81" w:rsidP="009D2D81">
      <w:pPr>
        <w:contextualSpacing/>
      </w:pPr>
      <w:r w:rsidRPr="00437FB5">
        <w:t xml:space="preserve">Resistance is an inevitable response to social change, where commonly, those with existing power seek to maintain the status quo by resisting the perceived or actual loss of power and privilege (Flood et al., 2018; Flood and Pease, 2005; Our Watch 2019). The gendered nature of existing political, </w:t>
      </w:r>
      <w:proofErr w:type="gramStart"/>
      <w:r w:rsidRPr="00437FB5">
        <w:t>economic</w:t>
      </w:r>
      <w:proofErr w:type="gramEnd"/>
      <w:r w:rsidRPr="00437FB5">
        <w:t xml:space="preserve"> and social structures, practices and norms results in resistance and backlash stemming primarily from those who benefit from the patriarchal status quo in which (white) men dominate power and decision-making structures (Our Watch, 2019). </w:t>
      </w:r>
    </w:p>
    <w:p w14:paraId="56A7715E" w14:textId="70B5132A" w:rsidR="00FD26D9" w:rsidRDefault="00FD26D9" w:rsidP="00FD26D9"/>
    <w:p w14:paraId="728D917E" w14:textId="77777777" w:rsidR="00306B5E" w:rsidRDefault="00306B5E">
      <w:r>
        <w:br w:type="page"/>
      </w:r>
    </w:p>
    <w:p w14:paraId="59BF5216" w14:textId="0301AE6F" w:rsidR="009D2D81" w:rsidRDefault="009D2D81" w:rsidP="009D2D81">
      <w:r>
        <w:lastRenderedPageBreak/>
        <w:t>The terms ‘b</w:t>
      </w:r>
      <w:r w:rsidRPr="00437FB5">
        <w:t>acklash</w:t>
      </w:r>
      <w:r>
        <w:t>’</w:t>
      </w:r>
      <w:r w:rsidRPr="00437FB5">
        <w:t xml:space="preserve"> and </w:t>
      </w:r>
      <w:r>
        <w:t>‘</w:t>
      </w:r>
      <w:r w:rsidRPr="00437FB5">
        <w:t>resistance</w:t>
      </w:r>
      <w:r>
        <w:t>’</w:t>
      </w:r>
      <w:r w:rsidRPr="00437FB5">
        <w:t xml:space="preserve"> are often used interchangeably.</w:t>
      </w:r>
      <w:r w:rsidRPr="00437FB5">
        <w:rPr>
          <w:rStyle w:val="FootnoteReference"/>
        </w:rPr>
        <w:footnoteReference w:id="2"/>
      </w:r>
      <w:r w:rsidRPr="00437FB5">
        <w:t xml:space="preserve"> Resistance can involve both passive and active, </w:t>
      </w:r>
      <w:proofErr w:type="gramStart"/>
      <w:r w:rsidRPr="00437FB5">
        <w:t>implicit</w:t>
      </w:r>
      <w:proofErr w:type="gramEnd"/>
      <w:r w:rsidRPr="00437FB5">
        <w:t xml:space="preserve"> and explicit, formal and informal opposition to change that a particular idea or initiative promotes (</w:t>
      </w:r>
      <w:proofErr w:type="spellStart"/>
      <w:r w:rsidRPr="00437FB5">
        <w:t>Mergaert</w:t>
      </w:r>
      <w:proofErr w:type="spellEnd"/>
      <w:r w:rsidRPr="00437FB5">
        <w:t xml:space="preserve"> and Lombardo, 2014). Flood et al. (2018, p. 8) define resistance as resistance </w:t>
      </w:r>
      <w:r w:rsidRPr="00437FB5">
        <w:rPr>
          <w:i/>
          <w:iCs/>
        </w:rPr>
        <w:t>to</w:t>
      </w:r>
      <w:r w:rsidRPr="00437FB5">
        <w:t xml:space="preserve"> something: “an active pushing back against progressive programs, policies and perspectives, and its purpose is the maintenance or reinforcement of gender inequalities”. </w:t>
      </w:r>
    </w:p>
    <w:p w14:paraId="3B662340" w14:textId="77777777" w:rsidR="009D2D81" w:rsidRDefault="009D2D81" w:rsidP="009D2D81"/>
    <w:p w14:paraId="4B8E184B" w14:textId="1BBCF740" w:rsidR="009D2D81" w:rsidRPr="00685857" w:rsidRDefault="009D2D81" w:rsidP="009D2D81">
      <w:pPr>
        <w:rPr>
          <w:rFonts w:ascii="Times New Roman" w:eastAsia="Times New Roman" w:hAnsi="Times New Roman" w:cs="Times New Roman"/>
          <w:lang w:eastAsia="en-GB"/>
        </w:rPr>
      </w:pPr>
      <w:r w:rsidRPr="00437FB5">
        <w:t>Importantly, resistance is a subset of broader gendered practices and processes that sustain the gendered drivers of violence against women, and which challenge, oppose and push back against gender equality efforts. It is a form and exercise of power and control in the struggle over change, where often, “fundamental values and principles are at stake</w:t>
      </w:r>
      <w:r w:rsidRPr="00685857">
        <w:t>” (</w:t>
      </w:r>
      <w:proofErr w:type="spellStart"/>
      <w:r w:rsidRPr="00685857">
        <w:rPr>
          <w:lang w:eastAsia="en-GB"/>
        </w:rPr>
        <w:t>Agócs</w:t>
      </w:r>
      <w:proofErr w:type="spellEnd"/>
      <w:r w:rsidRPr="00685857">
        <w:t xml:space="preserve"> 1997</w:t>
      </w:r>
      <w:r w:rsidRPr="00437FB5">
        <w:t xml:space="preserve">, p. 920). </w:t>
      </w:r>
      <w:r>
        <w:t xml:space="preserve">In the case of primary prevention of violence against women, this struggle is over the gendered order that shapes male privilege and advantage and access to power. </w:t>
      </w:r>
    </w:p>
    <w:p w14:paraId="6DAD214D" w14:textId="62B84915" w:rsidR="00FD26D9" w:rsidRDefault="00FD26D9" w:rsidP="00FD26D9"/>
    <w:p w14:paraId="598F480C" w14:textId="77777777" w:rsidR="009D2D81" w:rsidRPr="002A50D2" w:rsidRDefault="009D2D81" w:rsidP="009D2D81">
      <w:pPr>
        <w:spacing w:after="120"/>
      </w:pPr>
      <w:r w:rsidRPr="002A50D2">
        <w:t xml:space="preserve">Flood, </w:t>
      </w:r>
      <w:proofErr w:type="spellStart"/>
      <w:r w:rsidRPr="002A50D2">
        <w:t>Dragiewicz</w:t>
      </w:r>
      <w:proofErr w:type="spellEnd"/>
      <w:r w:rsidRPr="002A50D2">
        <w:t xml:space="preserve"> and Pease (2018; 2020) conceptualise backlash as an extreme and more active form of resistance</w:t>
      </w:r>
      <w:r w:rsidRPr="002A50D2">
        <w:rPr>
          <w:color w:val="000000" w:themeColor="text1"/>
        </w:rPr>
        <w:t xml:space="preserve"> that seeks to re-establish an idealised past where social relations benefitted those who were in positions of power (e.g., gendered division of labour, men’s decision-making in homes, breadwinner masculinities):</w:t>
      </w:r>
      <w:r w:rsidRPr="002A50D2">
        <w:t xml:space="preserve"> </w:t>
      </w:r>
    </w:p>
    <w:p w14:paraId="68CBCFC5" w14:textId="10877832" w:rsidR="009D2D81" w:rsidRPr="009D2D81" w:rsidRDefault="009D2D81" w:rsidP="009D2D81">
      <w:pPr>
        <w:ind w:left="567" w:right="521" w:firstLine="1"/>
        <w:contextualSpacing/>
        <w:rPr>
          <w:rFonts w:eastAsia="Times New Roman" w:cs="Times New Roman"/>
          <w:i/>
          <w:iCs/>
          <w:color w:val="000000" w:themeColor="text1"/>
          <w:lang w:eastAsia="en-GB"/>
        </w:rPr>
      </w:pPr>
      <w:r w:rsidRPr="009D2D81">
        <w:rPr>
          <w:rFonts w:eastAsia="Times New Roman" w:cs="Times New Roman"/>
          <w:i/>
          <w:iCs/>
          <w:color w:val="000000" w:themeColor="text1"/>
          <w:lang w:eastAsia="en-GB"/>
        </w:rPr>
        <w:t xml:space="preserve">Backlash is a response to actual or perceived challenges to existing hierarchies of power. It is a reaction against progressive social change that seeks to prevent further change from </w:t>
      </w:r>
      <w:r w:rsidRPr="009D2D81">
        <w:rPr>
          <w:rFonts w:eastAsia="Times New Roman" w:cs="Times New Roman"/>
          <w:i/>
          <w:iCs/>
          <w:color w:val="000000" w:themeColor="text1"/>
          <w:lang w:eastAsia="en-GB"/>
        </w:rPr>
        <w:t xml:space="preserve">happening and reverse those changes… Backlash is a reaction against emancipatory political objectives, rather than the reversal of established hierarchies of power (Flood et al, 2018, p. 8). </w:t>
      </w:r>
    </w:p>
    <w:p w14:paraId="52D89314" w14:textId="77777777" w:rsidR="009D2D81" w:rsidRPr="00437FB5" w:rsidRDefault="009D2D81" w:rsidP="00FD26D9"/>
    <w:p w14:paraId="1B95E6EB" w14:textId="77777777" w:rsidR="00DA7CD2" w:rsidRPr="005579FC" w:rsidRDefault="00DA7CD2" w:rsidP="00DA7CD2">
      <w:pPr>
        <w:rPr>
          <w:lang w:eastAsia="ja-JP"/>
        </w:rPr>
      </w:pPr>
      <w:r>
        <w:rPr>
          <w:lang w:eastAsia="ja-JP"/>
        </w:rPr>
        <w:t xml:space="preserve">It is useful to think of the various forms of resistance and backlash as existing on a continuum. </w:t>
      </w:r>
      <w:r w:rsidRPr="005579FC">
        <w:rPr>
          <w:lang w:eastAsia="ja-JP"/>
        </w:rPr>
        <w:t xml:space="preserve">As outlined in the latter parts of this report, </w:t>
      </w:r>
      <w:r>
        <w:rPr>
          <w:lang w:eastAsia="ja-JP"/>
        </w:rPr>
        <w:t xml:space="preserve">the more ‘passive’ or less obviously aggressive </w:t>
      </w:r>
      <w:r w:rsidRPr="005579FC">
        <w:rPr>
          <w:lang w:eastAsia="ja-JP"/>
        </w:rPr>
        <w:t xml:space="preserve">forms of resistance </w:t>
      </w:r>
      <w:r>
        <w:rPr>
          <w:lang w:eastAsia="ja-JP"/>
        </w:rPr>
        <w:t xml:space="preserve">that </w:t>
      </w:r>
      <w:r w:rsidRPr="005579FC">
        <w:rPr>
          <w:lang w:eastAsia="ja-JP"/>
        </w:rPr>
        <w:t xml:space="preserve">manifest in </w:t>
      </w:r>
      <w:r>
        <w:rPr>
          <w:lang w:eastAsia="ja-JP"/>
        </w:rPr>
        <w:t xml:space="preserve">a wide range of </w:t>
      </w:r>
      <w:r w:rsidRPr="005579FC">
        <w:rPr>
          <w:lang w:eastAsia="ja-JP"/>
        </w:rPr>
        <w:t xml:space="preserve">behaviours and attitudes, practices, </w:t>
      </w:r>
      <w:proofErr w:type="gramStart"/>
      <w:r w:rsidRPr="005579FC">
        <w:rPr>
          <w:lang w:eastAsia="ja-JP"/>
        </w:rPr>
        <w:t>structures</w:t>
      </w:r>
      <w:proofErr w:type="gramEnd"/>
      <w:r w:rsidRPr="005579FC">
        <w:rPr>
          <w:lang w:eastAsia="ja-JP"/>
        </w:rPr>
        <w:t xml:space="preserve"> and systems</w:t>
      </w:r>
      <w:r>
        <w:rPr>
          <w:lang w:eastAsia="ja-JP"/>
        </w:rPr>
        <w:t>,</w:t>
      </w:r>
      <w:r w:rsidRPr="005579FC">
        <w:rPr>
          <w:lang w:eastAsia="ja-JP"/>
        </w:rPr>
        <w:t xml:space="preserve"> underpin and reinforce the </w:t>
      </w:r>
      <w:r>
        <w:rPr>
          <w:lang w:eastAsia="ja-JP"/>
        </w:rPr>
        <w:t xml:space="preserve">more </w:t>
      </w:r>
      <w:r w:rsidRPr="005579FC">
        <w:rPr>
          <w:lang w:eastAsia="ja-JP"/>
        </w:rPr>
        <w:t>extreme versions of backlash (including violence) to primary prevention of violence against women approaches</w:t>
      </w:r>
      <w:r>
        <w:rPr>
          <w:lang w:eastAsia="ja-JP"/>
        </w:rPr>
        <w:t xml:space="preserve"> and its proponents</w:t>
      </w:r>
      <w:r w:rsidRPr="005579FC">
        <w:rPr>
          <w:lang w:eastAsia="ja-JP"/>
        </w:rPr>
        <w:t xml:space="preserve">. </w:t>
      </w:r>
    </w:p>
    <w:p w14:paraId="5601CACE" w14:textId="77A2BE1E" w:rsidR="00DA7CD2" w:rsidRPr="00EB4F29" w:rsidRDefault="00DA7CD2" w:rsidP="00DA7CD2">
      <w:pPr>
        <w:pStyle w:val="Heading2"/>
      </w:pPr>
      <w:bookmarkStart w:id="33" w:name="_Toc85032894"/>
      <w:bookmarkStart w:id="34" w:name="_Toc85620718"/>
      <w:bookmarkStart w:id="35" w:name="_Toc87526306"/>
      <w:r w:rsidRPr="00EB4F29">
        <w:t>Scope and methodology of the research</w:t>
      </w:r>
      <w:bookmarkEnd w:id="33"/>
      <w:bookmarkEnd w:id="34"/>
      <w:bookmarkEnd w:id="35"/>
    </w:p>
    <w:p w14:paraId="6AB1C312" w14:textId="77777777" w:rsidR="00DA7CD2" w:rsidRDefault="00DA7CD2" w:rsidP="00DA7CD2">
      <w:r w:rsidRPr="00437FB5">
        <w:t xml:space="preserve">The objective of this research project </w:t>
      </w:r>
      <w:r>
        <w:t xml:space="preserve">and report </w:t>
      </w:r>
      <w:r w:rsidRPr="00437FB5">
        <w:t>is to identify existing and potential strategies to monitor</w:t>
      </w:r>
      <w:r>
        <w:t xml:space="preserve"> and</w:t>
      </w:r>
      <w:r w:rsidRPr="00437FB5">
        <w:t xml:space="preserve"> </w:t>
      </w:r>
      <w:r>
        <w:t>respond</w:t>
      </w:r>
      <w:r w:rsidRPr="00437FB5">
        <w:t xml:space="preserve"> to</w:t>
      </w:r>
      <w:r>
        <w:t xml:space="preserve"> </w:t>
      </w:r>
      <w:r w:rsidRPr="00437FB5">
        <w:t xml:space="preserve">resistance </w:t>
      </w:r>
      <w:r>
        <w:t xml:space="preserve">and backlash, </w:t>
      </w:r>
      <w:r w:rsidRPr="00437FB5">
        <w:t xml:space="preserve">with the </w:t>
      </w:r>
      <w:proofErr w:type="gramStart"/>
      <w:r>
        <w:t xml:space="preserve">ultimate </w:t>
      </w:r>
      <w:r w:rsidRPr="00437FB5">
        <w:t>goal</w:t>
      </w:r>
      <w:proofErr w:type="gramEnd"/>
      <w:r w:rsidRPr="00437FB5">
        <w:t xml:space="preserve"> of minimising and preventing</w:t>
      </w:r>
      <w:r>
        <w:t xml:space="preserve"> </w:t>
      </w:r>
      <w:r w:rsidRPr="00437FB5">
        <w:t>it. It aims to expand on and contribute to existing understandings of resistance and backlash to primary prevention of violence against women change initiatives, movements and processes in Australia and identify potential avenues to anticipate and respond, with a key focus on institutional and organisational forms of resistance and</w:t>
      </w:r>
      <w:r>
        <w:t xml:space="preserve"> </w:t>
      </w:r>
      <w:r w:rsidRPr="00437FB5">
        <w:t xml:space="preserve">backlash. </w:t>
      </w:r>
    </w:p>
    <w:p w14:paraId="414E2CAA" w14:textId="77777777" w:rsidR="00DA7CD2" w:rsidRDefault="00DA7CD2" w:rsidP="00DA7CD2"/>
    <w:p w14:paraId="3E0669DD" w14:textId="73BA831F" w:rsidR="00DA7CD2" w:rsidRDefault="00DA7CD2" w:rsidP="00DA7CD2">
      <w:r>
        <w:t xml:space="preserve">Institutional and organisational resistance was prioritised as this is an area that has received less attention in the primary prevention of violence against women </w:t>
      </w:r>
      <w:r>
        <w:lastRenderedPageBreak/>
        <w:t xml:space="preserve">sector; however, it is identified as a critical component for the success of overall prevention efforts. This includes examining the intersections of resistance displayed by individuals (who make up institutions) and patterns of resistance by the gendered institutions themselves (see </w:t>
      </w:r>
      <w:r w:rsidR="002166A0">
        <w:t>pages 29-33</w:t>
      </w:r>
      <w:r>
        <w:t>).</w:t>
      </w:r>
    </w:p>
    <w:p w14:paraId="2D176650" w14:textId="77777777" w:rsidR="00DA7CD2" w:rsidRPr="00437FB5" w:rsidRDefault="00DA7CD2" w:rsidP="00DA7CD2"/>
    <w:p w14:paraId="1D0CB107" w14:textId="77777777" w:rsidR="00DA7CD2" w:rsidRDefault="00DA7CD2" w:rsidP="00DA7CD2">
      <w:r w:rsidRPr="00437FB5">
        <w:t xml:space="preserve">This research project began with a review of academic literature of theoretical and empirical research from a range of disciplines and fields. This review prioritised feminist and masculinities scholarship, with a focus on scholarship on violence against women, gender and organisations, media studies, feminist institutionalism, gender mainstreaming, and public health. Literature on the themes of diversity and inclusion also made key contributions. Additionally, the review drew on grey literature produced by organisations and government bodies in similar fields. </w:t>
      </w:r>
    </w:p>
    <w:p w14:paraId="3924487A" w14:textId="77777777" w:rsidR="00DA7CD2" w:rsidRDefault="00DA7CD2" w:rsidP="00DA7CD2"/>
    <w:p w14:paraId="5A11526B" w14:textId="0AF020BA" w:rsidR="00DA7CD2" w:rsidRPr="00437FB5" w:rsidRDefault="00DA7CD2" w:rsidP="00DA7CD2">
      <w:r w:rsidRPr="00437FB5">
        <w:t xml:space="preserve">Apart from a few key resources, initial online searches indicated a lack of both theoretical and practice-focused research on resistance and backlash to primary prevention of violence against women, and even gender equality change initiatives more broadly. This was the case for both Australian and international literature. Resistance and backlash to gender mainstreaming in organisations, especially research institutions in Europe, was one of the most well documented and analysed forms of institutional resistance. Given the institutional and organisational focus of this research project, this small body of evidence was </w:t>
      </w:r>
      <w:r>
        <w:t>influential</w:t>
      </w:r>
      <w:r w:rsidRPr="00437FB5">
        <w:t xml:space="preserve"> in developing the conceptual and research approach.</w:t>
      </w:r>
    </w:p>
    <w:p w14:paraId="1CCD4460" w14:textId="77777777" w:rsidR="00DA7CD2" w:rsidRDefault="00DA7CD2" w:rsidP="00DA7CD2"/>
    <w:p w14:paraId="50E3DF07" w14:textId="77777777" w:rsidR="00DA7CD2" w:rsidRDefault="00DA7CD2" w:rsidP="00DA7CD2">
      <w:r w:rsidRPr="00437FB5">
        <w:t xml:space="preserve">To develop knowledge around what resistance and backlash looks like in practice, informal conversations were held with stakeholders working in the prevention of violence against women sector in Victoria. These stakeholders generously </w:t>
      </w:r>
      <w:r w:rsidRPr="00437FB5">
        <w:t xml:space="preserve">shared their thoughts on current understandings of resistance and backlash and their experiences of resistance and backlash to their work. Most of these conversations were recorded with consent, and if not, notes were taken to inform the analysis. </w:t>
      </w:r>
    </w:p>
    <w:p w14:paraId="1DBF72F3" w14:textId="77777777" w:rsidR="00DA7CD2" w:rsidRDefault="00DA7CD2" w:rsidP="00DA7CD2"/>
    <w:p w14:paraId="09C0A6A6" w14:textId="5E4E1326" w:rsidR="00DA7CD2" w:rsidRDefault="00DA7CD2" w:rsidP="00DA7CD2">
      <w:proofErr w:type="gramStart"/>
      <w:r w:rsidRPr="00437FB5">
        <w:t>In order to</w:t>
      </w:r>
      <w:proofErr w:type="gramEnd"/>
      <w:r w:rsidRPr="00437FB5">
        <w:t xml:space="preserve"> have open and candid conversations, these stakeholders have been de-identified in this research report. These conversations were analysed with a focus on the 8 forms of resistance and backlash conceptualised by Flood et al., (2018, 2020; see Part 2 &amp; 3) to provide illustrative examples of what these different forms of resistance look like. </w:t>
      </w:r>
      <w:r>
        <w:t>There was also</w:t>
      </w:r>
      <w:r w:rsidRPr="00437FB5">
        <w:t xml:space="preserve"> a focus on strategies stakeholders used to respond to resistance and backlash in their work, both responding to individuals and to institutional and organisational norms, </w:t>
      </w:r>
      <w:proofErr w:type="gramStart"/>
      <w:r w:rsidRPr="00437FB5">
        <w:t>structures</w:t>
      </w:r>
      <w:proofErr w:type="gramEnd"/>
      <w:r w:rsidRPr="00437FB5">
        <w:t xml:space="preserve"> and practices. </w:t>
      </w:r>
    </w:p>
    <w:p w14:paraId="46515FE6" w14:textId="77777777" w:rsidR="00DA7CD2" w:rsidRDefault="00DA7CD2" w:rsidP="00DA7CD2"/>
    <w:p w14:paraId="718ECA06" w14:textId="77F2BD3E" w:rsidR="00DA7CD2" w:rsidRDefault="00DA7CD2" w:rsidP="00DA7CD2">
      <w:r w:rsidRPr="00437FB5">
        <w:t>However, the short nature of the research project</w:t>
      </w:r>
      <w:r>
        <w:t xml:space="preserve"> and </w:t>
      </w:r>
      <w:r w:rsidRPr="00437FB5">
        <w:t xml:space="preserve">availability of some stakeholders that coincided with the timing of this stage of the project means there is potential for further qualitative data to be gathered to continue building </w:t>
      </w:r>
      <w:r>
        <w:t xml:space="preserve">empirical </w:t>
      </w:r>
      <w:r w:rsidRPr="00437FB5">
        <w:t>understanding of resistance.</w:t>
      </w:r>
    </w:p>
    <w:p w14:paraId="611A47C2" w14:textId="77777777" w:rsidR="00DA7CD2" w:rsidRPr="00437FB5" w:rsidRDefault="00DA7CD2" w:rsidP="00DA7CD2"/>
    <w:p w14:paraId="702F9AD7" w14:textId="77777777" w:rsidR="00DA7CD2" w:rsidRDefault="00DA7CD2" w:rsidP="00DA7CD2">
      <w:r w:rsidRPr="00437FB5">
        <w:t xml:space="preserve">The research included specific efforts to identify literature </w:t>
      </w:r>
      <w:r>
        <w:t xml:space="preserve">and stakeholders </w:t>
      </w:r>
      <w:r w:rsidRPr="00437FB5">
        <w:t xml:space="preserve">that could help illuminate some of the different ways that resistance and backlash play out across Australia’s diverse community. This was attentive to whether and how forms of resistance differ according to the specific focus of prevention and gender equality strategies, the </w:t>
      </w:r>
      <w:proofErr w:type="gramStart"/>
      <w:r w:rsidRPr="00437FB5">
        <w:t>issues</w:t>
      </w:r>
      <w:proofErr w:type="gramEnd"/>
      <w:r w:rsidRPr="00437FB5">
        <w:t xml:space="preserve"> or audiences they target, and the settings they are implemented in. The process of identifying relevant stakeholders with policy and practice knowledge and experience included efforts to seek out those with experience or expertise working with population groups that experience multiple forms of discrimination and disadvantage </w:t>
      </w:r>
      <w:r w:rsidRPr="00437FB5">
        <w:lastRenderedPageBreak/>
        <w:t xml:space="preserve">or marginalisation. </w:t>
      </w:r>
    </w:p>
    <w:p w14:paraId="517D63B8" w14:textId="77777777" w:rsidR="00DA7CD2" w:rsidRDefault="00DA7CD2" w:rsidP="00DA7CD2"/>
    <w:p w14:paraId="78B41C43" w14:textId="5E9E5575" w:rsidR="00DA7CD2" w:rsidRDefault="00DA7CD2" w:rsidP="00DA7CD2">
      <w:r w:rsidRPr="00437FB5">
        <w:t xml:space="preserve">Due to the short nature of the research project, as well as the broader context and climate in the prevention sector in Victoria and Australia more broadly, there are future opportunities to expand on these efforts to understand resistance and backlash from multiple standpoints. Additionally, efforts were made to analyse instances of resistance and backlash that were reinforced by intersectional discrimination contained in alternate sources of data, such as quantitative surveys, media reporting and online discourses. This informed analysis of other prevention initiatives addressing plural power dynamics such as racism, homophobia, transphobia, and ableism and how they may be met with intensified </w:t>
      </w:r>
      <w:r w:rsidR="0094591C">
        <w:t>r</w:t>
      </w:r>
      <w:r w:rsidRPr="00437FB5">
        <w:t>esistance.</w:t>
      </w:r>
      <w:r w:rsidRPr="00437FB5">
        <w:rPr>
          <w:rStyle w:val="FootnoteReference"/>
        </w:rPr>
        <w:footnoteReference w:id="3"/>
      </w:r>
    </w:p>
    <w:p w14:paraId="7B415CAA" w14:textId="77CC94F0" w:rsidR="0094591C" w:rsidRDefault="0094591C" w:rsidP="00DA7CD2"/>
    <w:p w14:paraId="3F27C66F" w14:textId="77777777" w:rsidR="0094591C" w:rsidRDefault="0094591C" w:rsidP="0094591C">
      <w:r w:rsidRPr="0094591C">
        <w:t xml:space="preserve">Given the research focus on masculinities and resistance as the denial and defence of male privilege the project also considered the intersection of different forms of power and privilege </w:t>
      </w:r>
      <w:proofErr w:type="gramStart"/>
      <w:r w:rsidRPr="0094591C">
        <w:t>in order</w:t>
      </w:r>
      <w:r w:rsidRPr="0094591C">
        <w:rPr>
          <w:i/>
          <w:iCs/>
        </w:rPr>
        <w:t xml:space="preserve"> </w:t>
      </w:r>
      <w:r w:rsidRPr="0094591C">
        <w:t>to</w:t>
      </w:r>
      <w:proofErr w:type="gramEnd"/>
      <w:r w:rsidRPr="0094591C">
        <w:t xml:space="preserve"> understand and provide examples of the drivers of resistance and help build knowledge on how to respond to it (Flood et al 2018; Flood and Pease 2005; Our Watch 2019; Pease 2008). </w:t>
      </w:r>
    </w:p>
    <w:p w14:paraId="0362D5E2" w14:textId="77777777" w:rsidR="0094591C" w:rsidRDefault="0094591C" w:rsidP="0094591C"/>
    <w:p w14:paraId="375A30DB" w14:textId="73F46F68" w:rsidR="0094591C" w:rsidRPr="0094591C" w:rsidRDefault="0094591C" w:rsidP="0094591C">
      <w:r w:rsidRPr="0094591C">
        <w:t xml:space="preserve">Lessons can be learned from attempts to engage men at the intersection of, for example, race (white) and class/ socioeconomic status (high-income earners) </w:t>
      </w:r>
      <w:proofErr w:type="gramStart"/>
      <w:r w:rsidRPr="0094591C">
        <w:t>in particular settings</w:t>
      </w:r>
      <w:proofErr w:type="gramEnd"/>
      <w:r w:rsidRPr="0094591C">
        <w:t xml:space="preserve"> which may affect the forms of resistance, such as white and male dominated industries (such as the research conducted by Foley et al., 2020 with pilots and workers in automotive trade industries). </w:t>
      </w:r>
    </w:p>
    <w:p w14:paraId="5A6A3403" w14:textId="736E168A" w:rsidR="0094591C" w:rsidRDefault="0094591C" w:rsidP="00DA7CD2"/>
    <w:p w14:paraId="43A4215B" w14:textId="77777777" w:rsidR="0094591C" w:rsidRPr="0094591C" w:rsidRDefault="0094591C" w:rsidP="0094591C">
      <w:r w:rsidRPr="0094591C">
        <w:t xml:space="preserve">As a phenomenon, resistance and backlash is contextual, </w:t>
      </w:r>
      <w:proofErr w:type="gramStart"/>
      <w:r w:rsidRPr="0094591C">
        <w:t>adaptive</w:t>
      </w:r>
      <w:proofErr w:type="gramEnd"/>
      <w:r w:rsidRPr="0094591C">
        <w:t xml:space="preserve"> and fluid, </w:t>
      </w:r>
      <w:r w:rsidRPr="0094591C">
        <w:t xml:space="preserve">manifesting in different ways across the socioecological model and within different settings, making it difficult to capture in a methodical way that can then inform strategies to effectively respond to it. Classification and categorisation of what constitutes different forms of resistance and backlash is often subjective. Moreover, institutions and organisations can be at different points along the primary prevention (or gender equality) journey. Therefore, in line with Our Watch’s </w:t>
      </w:r>
      <w:r w:rsidRPr="0094591C">
        <w:rPr>
          <w:i/>
          <w:iCs/>
        </w:rPr>
        <w:t xml:space="preserve">Putting the prevention of violence against women into practice: How to Change the story </w:t>
      </w:r>
      <w:r w:rsidRPr="0094591C">
        <w:t xml:space="preserve">handbook, a reflective practice approach was prioritised to help think about how and where resistance manifests, and from whom (Our Watch 2017). </w:t>
      </w:r>
    </w:p>
    <w:p w14:paraId="67E6F856" w14:textId="77777777" w:rsidR="0094591C" w:rsidRDefault="0094591C" w:rsidP="0094591C"/>
    <w:p w14:paraId="68528801" w14:textId="19295063" w:rsidR="0094591C" w:rsidRDefault="0094591C" w:rsidP="0094591C">
      <w:r w:rsidRPr="0094591C">
        <w:t>Combined, this research informed the development of a provisional approach to monitoring resistance and backlash in institutional and organisational settings. To inform the creation of this approach the project analysed existing change initiatives and consulted stakeholders who are already working within institutions to implement primary prevention and broader gender equality initiatives. In line with the institutional/organisational focus, Our Watch’s Workplace Equality and Respect (WER) approaches and guidance documents were used to inform the thinking in how to best approach this task.</w:t>
      </w:r>
      <w:r w:rsidRPr="0094591C">
        <w:rPr>
          <w:vertAlign w:val="superscript"/>
        </w:rPr>
        <w:footnoteReference w:id="4"/>
      </w:r>
      <w:r w:rsidRPr="0094591C">
        <w:t xml:space="preserve"> </w:t>
      </w:r>
      <w:r w:rsidR="006E5351" w:rsidRPr="006E5351">
        <w:rPr>
          <w:rFonts w:ascii="Segoe UI" w:eastAsiaTheme="minorHAnsi" w:hAnsi="Segoe UI" w:cs="Segoe UI"/>
          <w:color w:val="000000"/>
          <w:sz w:val="20"/>
          <w:szCs w:val="20"/>
          <w:lang w:eastAsia="en-US" w:bidi="ar-SA"/>
        </w:rPr>
        <w:t xml:space="preserve"> </w:t>
      </w:r>
      <w:r w:rsidR="006E5351" w:rsidRPr="006E5351">
        <w:t xml:space="preserve">Workplace Equality and Respect offers a step-by-step process that enables organisations to identify key actions to make lasting change and a suite of freely available tools and resources that help support organisations to </w:t>
      </w:r>
      <w:proofErr w:type="gramStart"/>
      <w:r w:rsidR="006E5351" w:rsidRPr="006E5351">
        <w:t>take action</w:t>
      </w:r>
      <w:proofErr w:type="gramEnd"/>
      <w:r w:rsidR="006E5351" w:rsidRPr="006E5351">
        <w:t>.</w:t>
      </w:r>
    </w:p>
    <w:p w14:paraId="2E9D468F" w14:textId="77777777" w:rsidR="0094591C" w:rsidRDefault="0094591C" w:rsidP="0094591C"/>
    <w:p w14:paraId="4B6E0756" w14:textId="55453B0A" w:rsidR="0094591C" w:rsidRPr="0094591C" w:rsidRDefault="0094591C" w:rsidP="0094591C">
      <w:r w:rsidRPr="0094591C">
        <w:t xml:space="preserve">The monitoring approach centres a reflective practice approach to identify where resistance may be occurring across formal and informal institutions. It asks practitioners and organisations to </w:t>
      </w:r>
      <w:r w:rsidRPr="0094591C">
        <w:lastRenderedPageBreak/>
        <w:t>provide evidence of implementing primary prevention to then reflect on the different examples of resistance and what forms are manifesting (e.g., denial and/or </w:t>
      </w:r>
      <w:r w:rsidR="009C5698" w:rsidRPr="0094591C">
        <w:t>co-option</w:t>
      </w:r>
      <w:r w:rsidRPr="0094591C">
        <w:t>). By identifying the different forms of resistance to the initiative or commitment, the approach is intended to be a resource that can help practitioners and organisations find the best strategies to respond.</w:t>
      </w:r>
    </w:p>
    <w:p w14:paraId="571C471B" w14:textId="77777777" w:rsidR="0094591C" w:rsidRPr="0094591C" w:rsidRDefault="0094591C" w:rsidP="0094591C"/>
    <w:p w14:paraId="72E0C0FB" w14:textId="7CB82B4F" w:rsidR="005B0690" w:rsidRDefault="0094591C" w:rsidP="0094591C">
      <w:r w:rsidRPr="0094591C">
        <w:t>The goal of this research and monitoring approach is to contribute to the nascent body of evidence on resistance and backlash to primary prevention of violence against women to support the implementation and realisation of violence prevention change efforts. As this kind of work is relatively new, it is presented as an initial approach for testing and reflection, one that can provide a basis for future development and refinement. There are many opportunities to continue building knowledge and sharing holistic strategies and best practice to respond to individual and institutional forms of resistance and backlash.</w:t>
      </w:r>
    </w:p>
    <w:p w14:paraId="40627ED1" w14:textId="77777777" w:rsidR="005B0690" w:rsidRDefault="005B0690">
      <w:r>
        <w:br w:type="page"/>
      </w:r>
    </w:p>
    <w:p w14:paraId="05FE02A5" w14:textId="77777777" w:rsidR="0094591C" w:rsidRPr="0094591C" w:rsidRDefault="0094591C" w:rsidP="0094591C"/>
    <w:p w14:paraId="731AD180" w14:textId="77777777" w:rsidR="005B0690" w:rsidRDefault="005B0690" w:rsidP="005B0690">
      <w:pPr>
        <w:pStyle w:val="Heading1"/>
        <w:sectPr w:rsidR="005B0690" w:rsidSect="007937A4">
          <w:type w:val="continuous"/>
          <w:pgSz w:w="11900" w:h="16850"/>
          <w:pgMar w:top="1340" w:right="1060" w:bottom="1020" w:left="860" w:header="709" w:footer="709" w:gutter="0"/>
          <w:cols w:num="2" w:space="720"/>
          <w:docGrid w:linePitch="326"/>
        </w:sectPr>
      </w:pPr>
    </w:p>
    <w:p w14:paraId="45E58877" w14:textId="26846F67" w:rsidR="005B0690" w:rsidRPr="00EB4F29" w:rsidRDefault="005B0690" w:rsidP="005B0690">
      <w:pPr>
        <w:pStyle w:val="Heading1"/>
      </w:pPr>
      <w:bookmarkStart w:id="36" w:name="_Toc85620719"/>
      <w:bookmarkStart w:id="37" w:name="_Toc87526307"/>
      <w:r>
        <w:t>Part 2</w:t>
      </w:r>
      <w:r w:rsidR="00CC17BE">
        <w:t xml:space="preserve"> - </w:t>
      </w:r>
      <w:r w:rsidRPr="00EB4F29">
        <w:t>Understanding resistance and backlash</w:t>
      </w:r>
      <w:bookmarkEnd w:id="36"/>
      <w:bookmarkEnd w:id="37"/>
      <w:r w:rsidRPr="00EB4F29">
        <w:t xml:space="preserve"> </w:t>
      </w:r>
    </w:p>
    <w:p w14:paraId="5D45E6A3" w14:textId="77777777" w:rsidR="005B0690" w:rsidRDefault="005B0690" w:rsidP="00EB0FB9">
      <w:pPr>
        <w:pStyle w:val="BodyText1"/>
        <w:sectPr w:rsidR="005B0690" w:rsidSect="005B0690">
          <w:type w:val="continuous"/>
          <w:pgSz w:w="11900" w:h="16850"/>
          <w:pgMar w:top="1340" w:right="1060" w:bottom="1020" w:left="860" w:header="709" w:footer="709" w:gutter="0"/>
          <w:cols w:space="720"/>
          <w:docGrid w:linePitch="326"/>
        </w:sectPr>
      </w:pPr>
    </w:p>
    <w:p w14:paraId="47876911" w14:textId="5F0EFE7D" w:rsidR="00EB0FB9" w:rsidRPr="00EB0FB9" w:rsidRDefault="00EB0FB9" w:rsidP="00EB0FB9">
      <w:pPr>
        <w:pStyle w:val="BodyText1"/>
      </w:pPr>
      <w:r w:rsidRPr="00EB0FB9">
        <w:t xml:space="preserve">Resistance to primary prevention of violence against women is both collective and individual and comes from across communities (Flood et al., 2018, p. 10). Attitudinal data provides a snapshot of dominant attitudes, beliefs and values in Australia that uphold and support resistance to addressing the gendered drivers of violence. </w:t>
      </w:r>
    </w:p>
    <w:p w14:paraId="30B9F479" w14:textId="77777777" w:rsidR="00EB0FB9" w:rsidRPr="00EB0FB9" w:rsidRDefault="00EB0FB9" w:rsidP="00EB0FB9">
      <w:pPr>
        <w:pStyle w:val="BodyText1"/>
      </w:pPr>
      <w:r w:rsidRPr="00EB0FB9">
        <w:t xml:space="preserve">Results from the National Community Attitudes to Violence Against Women Survey (NCAS) (Webster et al., 2018) show that, in Australia, 35% of men and 32% of women continue to demonstrate attitudes supportive of violence against women and resistant to gender equality. Some concerning specifics include: </w:t>
      </w:r>
    </w:p>
    <w:p w14:paraId="74D883C7" w14:textId="77777777" w:rsidR="00E936AC" w:rsidRP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 xml:space="preserve">40% of people deny the continued persistence of gender inequality, agreeing ‘Many women exaggerate how unequally women are treated in Australia.’ </w:t>
      </w:r>
    </w:p>
    <w:p w14:paraId="31445E68" w14:textId="77777777" w:rsidR="00E936AC" w:rsidRP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 xml:space="preserve">50% of people agreed that ‘Many women mistakenly interpret innocent remarks or acts as being sexist.’ </w:t>
      </w:r>
    </w:p>
    <w:p w14:paraId="26E69207" w14:textId="77777777" w:rsidR="00E936AC" w:rsidRP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 xml:space="preserve">20% of people agreed that ‘Women often flirt with men just to be hurtful.’ </w:t>
      </w:r>
    </w:p>
    <w:p w14:paraId="767CCCA3" w14:textId="77777777" w:rsidR="00E936AC" w:rsidRP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 xml:space="preserve">36% of people agreed that ‘Many women fail to fully appreciate all </w:t>
      </w:r>
      <w:proofErr w:type="gramStart"/>
      <w:r w:rsidRPr="00E936AC">
        <w:rPr>
          <w:rFonts w:ascii="Arial" w:hAnsi="Arial" w:cs="Arial"/>
          <w:color w:val="000000" w:themeColor="text1"/>
        </w:rPr>
        <w:t>that men</w:t>
      </w:r>
      <w:proofErr w:type="gramEnd"/>
      <w:r w:rsidRPr="00E936AC">
        <w:rPr>
          <w:rFonts w:ascii="Arial" w:hAnsi="Arial" w:cs="Arial"/>
          <w:color w:val="000000" w:themeColor="text1"/>
        </w:rPr>
        <w:t xml:space="preserve"> do for them.’ </w:t>
      </w:r>
    </w:p>
    <w:p w14:paraId="2CC38EF7" w14:textId="77777777" w:rsidR="00E936AC" w:rsidRP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16% of people agreed that ‘there’s no harm in men making sexist jokes about women when they are among their male friends.’</w:t>
      </w:r>
    </w:p>
    <w:p w14:paraId="6550560C" w14:textId="77777777" w:rsidR="00E936AC" w:rsidRP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 xml:space="preserve">10% of people agree that ‘discrimination against women is no </w:t>
      </w:r>
      <w:r w:rsidRPr="00E936AC">
        <w:rPr>
          <w:rFonts w:ascii="Arial" w:hAnsi="Arial" w:cs="Arial"/>
          <w:color w:val="000000" w:themeColor="text1"/>
        </w:rPr>
        <w:t>longer a problem in the workplace in Australia.’</w:t>
      </w:r>
    </w:p>
    <w:p w14:paraId="0F7B62D6" w14:textId="525FEEC6" w:rsidR="00E936AC" w:rsidRDefault="00E936AC" w:rsidP="00E936AC">
      <w:r w:rsidRPr="00437FB5">
        <w:t>In addition to this attitudinal resistance to the persistence of gender inequalities in women’s private and public lives, since 1995 there seems to be a decline in understanding that men are more likely to perpetrate domestic violence and women are more likely to be victims (</w:t>
      </w:r>
      <w:r>
        <w:t>Webster et al., 2018</w:t>
      </w:r>
      <w:r w:rsidRPr="00437FB5">
        <w:t>). This includes a substantial minority of Australians having concerning attitudes that support and condone the gendered drivers of violence against women:</w:t>
      </w:r>
    </w:p>
    <w:p w14:paraId="4557F27A" w14:textId="59FE1646" w:rsidR="00E936AC" w:rsidRDefault="00E936AC" w:rsidP="00E936AC"/>
    <w:p w14:paraId="6B5130EA" w14:textId="77777777" w:rsidR="00E936AC" w:rsidRP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23% of Australians agree that ‘Many women tend to exaggerate the problem of male violence.’</w:t>
      </w:r>
    </w:p>
    <w:p w14:paraId="24CE70E1" w14:textId="77777777" w:rsidR="00E936AC" w:rsidRP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 xml:space="preserve">43% of Australians agree that ‘Women going through custody battles often make up or exaggerate claims of domestic violence </w:t>
      </w:r>
      <w:proofErr w:type="gramStart"/>
      <w:r w:rsidRPr="00E936AC">
        <w:rPr>
          <w:rFonts w:ascii="Arial" w:hAnsi="Arial" w:cs="Arial"/>
          <w:color w:val="000000" w:themeColor="text1"/>
        </w:rPr>
        <w:t>in order to</w:t>
      </w:r>
      <w:proofErr w:type="gramEnd"/>
      <w:r w:rsidRPr="00E936AC">
        <w:rPr>
          <w:rFonts w:ascii="Arial" w:hAnsi="Arial" w:cs="Arial"/>
          <w:color w:val="000000" w:themeColor="text1"/>
        </w:rPr>
        <w:t xml:space="preserve"> improve their case.’</w:t>
      </w:r>
    </w:p>
    <w:p w14:paraId="1ECD228F" w14:textId="77777777" w:rsidR="00E936AC" w:rsidRP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30% of Australians agree that ‘If a woman sends a nude image to her partner, then she is partly responsible if he shares it without her permission.’</w:t>
      </w:r>
    </w:p>
    <w:p w14:paraId="3EB391FB" w14:textId="77777777" w:rsidR="00E936AC" w:rsidRP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12% of Australians agree that ‘Women often say ‘no’ when they mean ‘yes’.’</w:t>
      </w:r>
    </w:p>
    <w:p w14:paraId="09F40F59" w14:textId="77777777" w:rsidR="00E936AC" w:rsidRP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21% of Australians agree that ‘Since some women are so sexual in public, it’s not surprising that some men think they can touch women without permission.’</w:t>
      </w:r>
    </w:p>
    <w:p w14:paraId="72FD6F8B" w14:textId="1D4792FD" w:rsidR="00E936AC" w:rsidRDefault="00E936AC"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E936AC">
        <w:rPr>
          <w:rFonts w:ascii="Arial" w:hAnsi="Arial" w:cs="Arial"/>
          <w:color w:val="000000" w:themeColor="text1"/>
        </w:rPr>
        <w:t>33% of Australians agree that ‘Rape results from men not being able to control their need for sex.’</w:t>
      </w:r>
    </w:p>
    <w:p w14:paraId="5DDEBADE" w14:textId="02F0B25E" w:rsidR="00E936AC" w:rsidRPr="00E936AC" w:rsidRDefault="00E936AC" w:rsidP="00E936AC">
      <w:pPr>
        <w:pStyle w:val="BodyText1"/>
        <w:rPr>
          <w:rFonts w:cs="Arial"/>
          <w:color w:val="000000" w:themeColor="text1"/>
        </w:rPr>
      </w:pPr>
      <w:r w:rsidRPr="00E936AC">
        <w:rPr>
          <w:rFonts w:cs="Arial"/>
          <w:color w:val="000000" w:themeColor="text1"/>
        </w:rPr>
        <w:lastRenderedPageBreak/>
        <w:t xml:space="preserve">This snapshot of violence supportive attitudes indicates societal resistance and backlash to the recognition of the gendered nature of violence against women by minimising, </w:t>
      </w:r>
      <w:proofErr w:type="gramStart"/>
      <w:r w:rsidRPr="00E936AC">
        <w:rPr>
          <w:rFonts w:cs="Arial"/>
          <w:color w:val="000000" w:themeColor="text1"/>
        </w:rPr>
        <w:t>justifying</w:t>
      </w:r>
      <w:proofErr w:type="gramEnd"/>
      <w:r w:rsidRPr="00E936AC">
        <w:rPr>
          <w:rFonts w:cs="Arial"/>
          <w:color w:val="000000" w:themeColor="text1"/>
        </w:rPr>
        <w:t xml:space="preserve"> and denying women’s experiences of violence. These types of resistant attitudes also permeate some parts of the public and political conversation (Our Watch 2020</w:t>
      </w:r>
      <w:r w:rsidR="000E1854">
        <w:rPr>
          <w:rFonts w:cs="Arial"/>
          <w:color w:val="000000" w:themeColor="text1"/>
        </w:rPr>
        <w:t>a</w:t>
      </w:r>
      <w:r w:rsidRPr="00E936AC">
        <w:rPr>
          <w:rFonts w:cs="Arial"/>
          <w:color w:val="000000" w:themeColor="text1"/>
        </w:rPr>
        <w:t xml:space="preserve">, p. 70). Further, the strongest predictor of violence-supportive attitudes is the degree to which respondents held sexist attitudes and other prejudicial and discriminatory attitudes such as those based on ethnicity, </w:t>
      </w:r>
      <w:proofErr w:type="gramStart"/>
      <w:r w:rsidRPr="00E936AC">
        <w:rPr>
          <w:rFonts w:cs="Arial"/>
          <w:color w:val="000000" w:themeColor="text1"/>
        </w:rPr>
        <w:t>disability</w:t>
      </w:r>
      <w:proofErr w:type="gramEnd"/>
      <w:r w:rsidRPr="00E936AC">
        <w:rPr>
          <w:rFonts w:cs="Arial"/>
          <w:color w:val="000000" w:themeColor="text1"/>
        </w:rPr>
        <w:t xml:space="preserve"> or sexuality. This highlights the </w:t>
      </w:r>
      <w:proofErr w:type="gramStart"/>
      <w:r w:rsidRPr="00E936AC">
        <w:rPr>
          <w:rFonts w:cs="Arial"/>
          <w:color w:val="000000" w:themeColor="text1"/>
        </w:rPr>
        <w:t>often intersecting</w:t>
      </w:r>
      <w:proofErr w:type="gramEnd"/>
      <w:r w:rsidRPr="00E936AC">
        <w:rPr>
          <w:rFonts w:cs="Arial"/>
          <w:color w:val="000000" w:themeColor="text1"/>
        </w:rPr>
        <w:t xml:space="preserve"> dynamics of sexism, racism, ableism and homophobia.</w:t>
      </w:r>
    </w:p>
    <w:p w14:paraId="0DAA25D2" w14:textId="3652F2D4" w:rsidR="00E936AC" w:rsidRDefault="00E936AC" w:rsidP="00E936AC">
      <w:pPr>
        <w:pStyle w:val="BodyText1"/>
        <w:rPr>
          <w:lang w:bidi="en-AU"/>
        </w:rPr>
      </w:pPr>
      <w:r w:rsidRPr="00E936AC">
        <w:rPr>
          <w:lang w:bidi="en-AU"/>
        </w:rPr>
        <w:t xml:space="preserve">The </w:t>
      </w:r>
      <w:r w:rsidRPr="00E936AC">
        <w:rPr>
          <w:i/>
          <w:iCs/>
          <w:lang w:bidi="en-AU"/>
        </w:rPr>
        <w:t xml:space="preserve">From Girls to Men </w:t>
      </w:r>
      <w:r w:rsidRPr="00E936AC">
        <w:rPr>
          <w:lang w:bidi="en-AU"/>
        </w:rPr>
        <w:t xml:space="preserve">survey found that 43% of Australians held ‘traditional’ views on gender roles, </w:t>
      </w:r>
      <w:r w:rsidRPr="00E936AC">
        <w:t>encompassing</w:t>
      </w:r>
      <w:r w:rsidRPr="00E936AC">
        <w:rPr>
          <w:lang w:bidi="en-AU"/>
        </w:rPr>
        <w:t xml:space="preserve"> negative views on women in leadership and conservative views about women in the workplace and home (Evans et al., 2018). Moderate views were held by 62% of Australians. This ‘moderate’ viewpoint is described as a rhetorical commitment to gender equality in the workplace and home but is accompanied with a concern about ‘political correctness’ and/or that gender equality has gone ‘too far’, constituting forms of resistance as discussed below.</w:t>
      </w:r>
      <w:r w:rsidR="000E1854">
        <w:rPr>
          <w:lang w:bidi="en-AU"/>
        </w:rPr>
        <w:t xml:space="preserve"> Views described as </w:t>
      </w:r>
      <w:r w:rsidR="00EC1067">
        <w:rPr>
          <w:lang w:bidi="en-AU"/>
        </w:rPr>
        <w:t>‘</w:t>
      </w:r>
      <w:r w:rsidR="000E1854">
        <w:rPr>
          <w:lang w:bidi="en-AU"/>
        </w:rPr>
        <w:t>p</w:t>
      </w:r>
      <w:r w:rsidRPr="00E936AC">
        <w:rPr>
          <w:lang w:bidi="en-AU"/>
        </w:rPr>
        <w:t>rogressive</w:t>
      </w:r>
      <w:r w:rsidR="000E1854">
        <w:rPr>
          <w:lang w:bidi="en-AU"/>
        </w:rPr>
        <w:t>’</w:t>
      </w:r>
      <w:r w:rsidRPr="00E936AC">
        <w:rPr>
          <w:lang w:bidi="en-AU"/>
        </w:rPr>
        <w:t xml:space="preserve"> were exhibited by 68% of Australians, </w:t>
      </w:r>
      <w:r w:rsidR="00AA1CC1">
        <w:rPr>
          <w:lang w:bidi="en-AU"/>
        </w:rPr>
        <w:t xml:space="preserve">which </w:t>
      </w:r>
      <w:r w:rsidRPr="00E936AC">
        <w:rPr>
          <w:lang w:bidi="en-AU"/>
        </w:rPr>
        <w:t>align</w:t>
      </w:r>
      <w:r w:rsidR="000E1854">
        <w:rPr>
          <w:lang w:bidi="en-AU"/>
        </w:rPr>
        <w:t>s</w:t>
      </w:r>
      <w:r w:rsidRPr="00E936AC">
        <w:rPr>
          <w:lang w:bidi="en-AU"/>
        </w:rPr>
        <w:t xml:space="preserve"> with the need for concerted gender equality policy in workplaces and broader society. These three types of attitudes are not mutually exclusive, with survey respondents demonstrating multiple viewpoints depending on their own range of opinions on gender politics and different issues. The report notes</w:t>
      </w:r>
      <w:r w:rsidR="00E64DA5">
        <w:rPr>
          <w:lang w:bidi="en-AU"/>
        </w:rPr>
        <w:t>,</w:t>
      </w:r>
      <w:r w:rsidRPr="00E936AC">
        <w:rPr>
          <w:lang w:bidi="en-AU"/>
        </w:rPr>
        <w:t xml:space="preserve"> however, that there is a convergence around the more moderate value system, indicating slow </w:t>
      </w:r>
      <w:r w:rsidRPr="00E936AC">
        <w:rPr>
          <w:lang w:bidi="en-AU"/>
        </w:rPr>
        <w:t>progress on gender equality and ongoing strong resistance given the attitudinal contradictions that characterise this position (Evans et al., 2018, p. 12).</w:t>
      </w:r>
    </w:p>
    <w:p w14:paraId="5AA04E54" w14:textId="65F3BD17" w:rsidR="007221B4" w:rsidRDefault="007221B4" w:rsidP="007221B4">
      <w:pPr>
        <w:rPr>
          <w:rFonts w:cs="Calibri"/>
          <w:color w:val="000000" w:themeColor="text1"/>
        </w:rPr>
      </w:pPr>
      <w:r>
        <w:rPr>
          <w:rFonts w:cs="Calibri"/>
          <w:color w:val="000000" w:themeColor="text1"/>
        </w:rPr>
        <w:t>In a</w:t>
      </w:r>
      <w:r w:rsidRPr="00437FB5">
        <w:rPr>
          <w:rFonts w:cs="Calibri"/>
          <w:color w:val="000000" w:themeColor="text1"/>
        </w:rPr>
        <w:t xml:space="preserve"> patriarchal</w:t>
      </w:r>
      <w:r>
        <w:rPr>
          <w:rFonts w:cs="Calibri"/>
          <w:color w:val="000000" w:themeColor="text1"/>
        </w:rPr>
        <w:t xml:space="preserve"> society</w:t>
      </w:r>
      <w:r w:rsidRPr="00437FB5">
        <w:rPr>
          <w:rFonts w:cs="Calibri"/>
          <w:color w:val="000000" w:themeColor="text1"/>
        </w:rPr>
        <w:t xml:space="preserve">, those </w:t>
      </w:r>
      <w:r>
        <w:rPr>
          <w:rFonts w:cs="Calibri"/>
          <w:color w:val="000000" w:themeColor="text1"/>
        </w:rPr>
        <w:t xml:space="preserve">who benefit and derive </w:t>
      </w:r>
      <w:r w:rsidRPr="00437FB5">
        <w:rPr>
          <w:rFonts w:cs="Calibri"/>
          <w:color w:val="000000" w:themeColor="text1"/>
        </w:rPr>
        <w:t>privilege from the current hierarchies tend to be</w:t>
      </w:r>
      <w:r>
        <w:rPr>
          <w:rFonts w:cs="Calibri"/>
          <w:color w:val="000000" w:themeColor="text1"/>
        </w:rPr>
        <w:t xml:space="preserve"> c</w:t>
      </w:r>
      <w:r w:rsidRPr="00437FB5">
        <w:rPr>
          <w:rFonts w:cs="Calibri"/>
          <w:color w:val="000000" w:themeColor="text1"/>
        </w:rPr>
        <w:t xml:space="preserve">is-normative white men who dominate political, </w:t>
      </w:r>
      <w:proofErr w:type="gramStart"/>
      <w:r w:rsidRPr="00437FB5">
        <w:rPr>
          <w:rFonts w:cs="Calibri"/>
          <w:color w:val="000000" w:themeColor="text1"/>
        </w:rPr>
        <w:t>economic</w:t>
      </w:r>
      <w:proofErr w:type="gramEnd"/>
      <w:r w:rsidRPr="00437FB5">
        <w:rPr>
          <w:rFonts w:cs="Calibri"/>
          <w:color w:val="000000" w:themeColor="text1"/>
        </w:rPr>
        <w:t xml:space="preserve"> and social decision-making and power structures. In this context, while resistance and backlash </w:t>
      </w:r>
      <w:proofErr w:type="gramStart"/>
      <w:r w:rsidRPr="00437FB5">
        <w:rPr>
          <w:rFonts w:cs="Calibri"/>
          <w:color w:val="000000" w:themeColor="text1"/>
        </w:rPr>
        <w:t>comes</w:t>
      </w:r>
      <w:proofErr w:type="gramEnd"/>
      <w:r w:rsidRPr="00437FB5">
        <w:rPr>
          <w:rFonts w:cs="Calibri"/>
          <w:color w:val="000000" w:themeColor="text1"/>
        </w:rPr>
        <w:t xml:space="preserve"> from men </w:t>
      </w:r>
      <w:r w:rsidRPr="00437FB5">
        <w:rPr>
          <w:rFonts w:cs="Calibri"/>
          <w:i/>
          <w:iCs/>
          <w:color w:val="000000" w:themeColor="text1"/>
        </w:rPr>
        <w:t>and</w:t>
      </w:r>
      <w:r w:rsidRPr="00437FB5">
        <w:rPr>
          <w:rFonts w:cs="Calibri"/>
          <w:color w:val="000000" w:themeColor="text1"/>
        </w:rPr>
        <w:t xml:space="preserve"> women, it is most likely to come from those who benefit from the existing power structures and status quo and have something to lose in changing gender relations (Flood et al</w:t>
      </w:r>
      <w:r>
        <w:rPr>
          <w:rFonts w:cs="Calibri"/>
          <w:color w:val="000000" w:themeColor="text1"/>
        </w:rPr>
        <w:t>.</w:t>
      </w:r>
      <w:r w:rsidRPr="00437FB5">
        <w:rPr>
          <w:rFonts w:cs="Calibri"/>
          <w:color w:val="000000" w:themeColor="text1"/>
        </w:rPr>
        <w:t xml:space="preserve">, 2018, p. 10). </w:t>
      </w:r>
    </w:p>
    <w:p w14:paraId="42B85136" w14:textId="1CF6B93A" w:rsidR="007221B4" w:rsidRPr="005B0690" w:rsidRDefault="007221B4" w:rsidP="005B0690">
      <w:pPr>
        <w:pStyle w:val="Heading2"/>
      </w:pPr>
      <w:bookmarkStart w:id="38" w:name="_Toc85032896"/>
      <w:bookmarkStart w:id="39" w:name="_Toc85620720"/>
      <w:bookmarkStart w:id="40" w:name="_Toc87526308"/>
      <w:r w:rsidRPr="005B0690">
        <w:t>Masculinities, male privilege and resistance and backlash</w:t>
      </w:r>
      <w:bookmarkEnd w:id="38"/>
      <w:bookmarkEnd w:id="39"/>
      <w:bookmarkEnd w:id="40"/>
    </w:p>
    <w:p w14:paraId="6B9159C1" w14:textId="77777777" w:rsidR="007221B4" w:rsidRDefault="007221B4" w:rsidP="007221B4">
      <w:pPr>
        <w:contextualSpacing/>
      </w:pPr>
      <w:r w:rsidRPr="00437FB5">
        <w:rPr>
          <w:i/>
          <w:iCs/>
        </w:rPr>
        <w:t xml:space="preserve">Men in focus </w:t>
      </w:r>
      <w:r w:rsidRPr="00437FB5">
        <w:t>identifies the challenges of backlash and resistance to specific work on masculinities, how it relates to male privilege and dominant forms of masculinities, and engaging men in prevention work (Our Watch 2019). A gender analysis of power is central to this research, and to understanding why and how resistance and backlash manifests predominantly from men and from</w:t>
      </w:r>
      <w:r>
        <w:t xml:space="preserve"> within</w:t>
      </w:r>
      <w:r w:rsidRPr="00437FB5">
        <w:t xml:space="preserve"> the structures and systems that privilege and benefit them. </w:t>
      </w:r>
    </w:p>
    <w:p w14:paraId="59A61AD6" w14:textId="77777777" w:rsidR="007221B4" w:rsidRDefault="007221B4" w:rsidP="007221B4">
      <w:pPr>
        <w:contextualSpacing/>
      </w:pPr>
    </w:p>
    <w:p w14:paraId="25C4C730" w14:textId="1F453798" w:rsidR="007221B4" w:rsidRDefault="007221B4" w:rsidP="007221B4">
      <w:pPr>
        <w:contextualSpacing/>
      </w:pPr>
      <w:r w:rsidRPr="00437FB5">
        <w:t xml:space="preserve">As </w:t>
      </w:r>
      <w:proofErr w:type="spellStart"/>
      <w:r>
        <w:t>Agócs</w:t>
      </w:r>
      <w:proofErr w:type="spellEnd"/>
      <w:r w:rsidRPr="00437FB5">
        <w:t xml:space="preserve"> (1997</w:t>
      </w:r>
      <w:r>
        <w:t>, p. 922</w:t>
      </w:r>
      <w:r w:rsidRPr="00437FB5">
        <w:t xml:space="preserve">) states, in relation to institutionalised resistance, “the issue is fundamentally one of power: the power to enable or silence voice, and the power to accord legitimacy to some interpretations of experience and deny it to others”. In other words, those in power across the socioecological model in Australia are mostly white men (and some women) who legitimise what counts as ‘normal’, </w:t>
      </w:r>
      <w:proofErr w:type="gramStart"/>
      <w:r w:rsidRPr="00437FB5">
        <w:t>valued</w:t>
      </w:r>
      <w:proofErr w:type="gramEnd"/>
      <w:r w:rsidRPr="00437FB5">
        <w:t xml:space="preserve"> and important.</w:t>
      </w:r>
    </w:p>
    <w:p w14:paraId="3D729577" w14:textId="6FDCC880" w:rsidR="007221B4" w:rsidRDefault="007221B4" w:rsidP="007221B4">
      <w:pPr>
        <w:contextualSpacing/>
      </w:pPr>
    </w:p>
    <w:p w14:paraId="07B126D8" w14:textId="77777777" w:rsidR="007221B4" w:rsidRDefault="007221B4" w:rsidP="007221B4">
      <w:pPr>
        <w:contextualSpacing/>
      </w:pPr>
      <w:r w:rsidRPr="00437FB5">
        <w:t xml:space="preserve">Analysing masculinities is foundational to </w:t>
      </w:r>
      <w:r w:rsidRPr="00437FB5">
        <w:lastRenderedPageBreak/>
        <w:t xml:space="preserve">explore </w:t>
      </w:r>
      <w:r w:rsidRPr="00437FB5">
        <w:rPr>
          <w:i/>
          <w:iCs/>
        </w:rPr>
        <w:t xml:space="preserve">why </w:t>
      </w:r>
      <w:r w:rsidRPr="00437FB5">
        <w:t xml:space="preserve">men resist </w:t>
      </w:r>
      <w:r>
        <w:t>primary prevention of violence against women approaches and gender equality efforts</w:t>
      </w:r>
      <w:r w:rsidRPr="00437FB5">
        <w:t xml:space="preserve">. This is particularly pertinent given that the </w:t>
      </w:r>
      <w:r w:rsidRPr="00437FB5">
        <w:rPr>
          <w:i/>
          <w:iCs/>
        </w:rPr>
        <w:t>From Girls to Men</w:t>
      </w:r>
      <w:r w:rsidRPr="00437FB5">
        <w:t xml:space="preserve"> survey revealed that </w:t>
      </w:r>
      <w:r>
        <w:t xml:space="preserve">many Australian </w:t>
      </w:r>
      <w:r w:rsidRPr="00437FB5">
        <w:t xml:space="preserve">men feel </w:t>
      </w:r>
      <w:r>
        <w:t>‘</w:t>
      </w:r>
      <w:r w:rsidRPr="00437FB5">
        <w:t>forgotten</w:t>
      </w:r>
      <w:r>
        <w:t>’</w:t>
      </w:r>
      <w:r w:rsidRPr="00437FB5">
        <w:t xml:space="preserve"> in the struggle for gender equality (Evans et al., 2018). Nearly half</w:t>
      </w:r>
      <w:r>
        <w:t xml:space="preserve"> (42%) </w:t>
      </w:r>
      <w:r w:rsidRPr="00437FB5">
        <w:t>of</w:t>
      </w:r>
      <w:r>
        <w:t xml:space="preserve"> </w:t>
      </w:r>
      <w:r w:rsidRPr="00437FB5">
        <w:t xml:space="preserve">male respondents to the survey agreed or strongly agreed with the statement that “gender equality strategies in the workplace do not take men into account” </w:t>
      </w:r>
      <w:r>
        <w:t xml:space="preserve">with this being </w:t>
      </w:r>
      <w:proofErr w:type="gramStart"/>
      <w:r>
        <w:t>fairly consistent</w:t>
      </w:r>
      <w:proofErr w:type="gramEnd"/>
      <w:r>
        <w:t xml:space="preserve"> across age groups</w:t>
      </w:r>
      <w:r w:rsidRPr="00437FB5">
        <w:t xml:space="preserve"> (Evans et al., 2018, pp. 27-28).  </w:t>
      </w:r>
    </w:p>
    <w:p w14:paraId="55B455AF" w14:textId="77777777" w:rsidR="007221B4" w:rsidRDefault="007221B4" w:rsidP="007221B4">
      <w:pPr>
        <w:contextualSpacing/>
      </w:pPr>
    </w:p>
    <w:p w14:paraId="6180808C" w14:textId="4D26C944" w:rsidR="007221B4" w:rsidRPr="00437FB5" w:rsidRDefault="007221B4" w:rsidP="007221B4">
      <w:pPr>
        <w:contextualSpacing/>
      </w:pPr>
      <w:r>
        <w:t>Similarly,</w:t>
      </w:r>
      <w:r w:rsidR="000E1854">
        <w:t xml:space="preserve"> the results of that survey indicate</w:t>
      </w:r>
      <w:r>
        <w:t xml:space="preserve"> 41% of Australian men believe that political correctness gives women an unfair advantage in the workplace, with 54% of Australian men believing political correctness hinders their ability to speak freely about gender equality. </w:t>
      </w:r>
      <w:r w:rsidRPr="00437FB5">
        <w:t xml:space="preserve">This indicates a need for more effective engagement with men and boys, to bring them along on the journey of achieving gender equality and minimise the potential for resistance and backlash. </w:t>
      </w:r>
    </w:p>
    <w:p w14:paraId="0404C147" w14:textId="77777777" w:rsidR="007221B4" w:rsidRPr="00437FB5" w:rsidRDefault="007221B4" w:rsidP="007221B4">
      <w:pPr>
        <w:contextualSpacing/>
      </w:pPr>
    </w:p>
    <w:p w14:paraId="201BED29" w14:textId="52AA10EB" w:rsidR="007221B4" w:rsidRDefault="007221B4" w:rsidP="007221B4">
      <w:pPr>
        <w:contextualSpacing/>
      </w:pPr>
      <w:r w:rsidRPr="00437FB5">
        <w:t>Masculinities (and femininities</w:t>
      </w:r>
      <w:r>
        <w:t xml:space="preserve"> and gender</w:t>
      </w:r>
      <w:r w:rsidRPr="00437FB5">
        <w:t xml:space="preserve">) are multiple, </w:t>
      </w:r>
      <w:r>
        <w:t xml:space="preserve">adaptable, </w:t>
      </w:r>
      <w:proofErr w:type="gramStart"/>
      <w:r w:rsidRPr="00437FB5">
        <w:t>relational</w:t>
      </w:r>
      <w:proofErr w:type="gramEnd"/>
      <w:r w:rsidRPr="00437FB5">
        <w:t xml:space="preserve"> and contextual (Our Watch 2019, p. 30). </w:t>
      </w:r>
      <w:r>
        <w:t>They</w:t>
      </w:r>
      <w:r w:rsidRPr="00437FB5">
        <w:t xml:space="preserve"> are not innate biological characteristics, but </w:t>
      </w:r>
      <w:r>
        <w:t>rather</w:t>
      </w:r>
      <w:r w:rsidRPr="00437FB5">
        <w:t xml:space="preserve"> dynamic social constructions that shift over time and place. </w:t>
      </w:r>
      <w:r>
        <w:t xml:space="preserve">For example, dominant gender norms, practices and structures </w:t>
      </w:r>
      <w:r w:rsidR="000E1854">
        <w:t>will differ across communities and geographical locations</w:t>
      </w:r>
      <w:r>
        <w:t xml:space="preserve">. </w:t>
      </w:r>
    </w:p>
    <w:p w14:paraId="6A65F3FE" w14:textId="77777777" w:rsidR="007221B4" w:rsidRDefault="007221B4" w:rsidP="007221B4">
      <w:pPr>
        <w:contextualSpacing/>
      </w:pPr>
    </w:p>
    <w:p w14:paraId="644E36A8" w14:textId="273A79DF" w:rsidR="007221B4" w:rsidRDefault="007221B4" w:rsidP="007221B4">
      <w:pPr>
        <w:contextualSpacing/>
      </w:pPr>
      <w:r w:rsidRPr="00437FB5">
        <w:t xml:space="preserve">Masculinities are hierarchical and shaped by other power dynamics based on </w:t>
      </w:r>
      <w:r>
        <w:t xml:space="preserve">factors such </w:t>
      </w:r>
      <w:r w:rsidRPr="00437FB5">
        <w:t>as race, class, geographic location, sexuality and so on</w:t>
      </w:r>
      <w:r>
        <w:t xml:space="preserve">. This hierarchy </w:t>
      </w:r>
      <w:r w:rsidRPr="00437FB5">
        <w:t>privilege</w:t>
      </w:r>
      <w:r>
        <w:t>s</w:t>
      </w:r>
      <w:r w:rsidRPr="00437FB5">
        <w:t xml:space="preserve"> some groups of men over others, and </w:t>
      </w:r>
      <w:r>
        <w:t xml:space="preserve">produces </w:t>
      </w:r>
      <w:r w:rsidRPr="00437FB5">
        <w:t>negative impact</w:t>
      </w:r>
      <w:r>
        <w:t>s on</w:t>
      </w:r>
      <w:r w:rsidRPr="00437FB5">
        <w:t xml:space="preserve"> men who experience racism, classism, homophobia, ableism and so forth. In her work, Connell (1987</w:t>
      </w:r>
      <w:r>
        <w:t>, 2005</w:t>
      </w:r>
      <w:r w:rsidRPr="00437FB5">
        <w:t xml:space="preserve">) theorised this hierarchy as </w:t>
      </w:r>
      <w:r>
        <w:t>‘</w:t>
      </w:r>
      <w:r w:rsidRPr="00437FB5">
        <w:t>hegemonic</w:t>
      </w:r>
      <w:r>
        <w:t>’</w:t>
      </w:r>
      <w:r w:rsidRPr="00437FB5">
        <w:t xml:space="preserve">, </w:t>
      </w:r>
      <w:r>
        <w:t>‘</w:t>
      </w:r>
      <w:r w:rsidRPr="00437FB5">
        <w:t>subordinated</w:t>
      </w:r>
      <w:r>
        <w:t>’</w:t>
      </w:r>
      <w:r w:rsidRPr="00437FB5">
        <w:t xml:space="preserve"> </w:t>
      </w:r>
      <w:r w:rsidRPr="00437FB5">
        <w:t xml:space="preserve">and </w:t>
      </w:r>
      <w:r>
        <w:t>‘</w:t>
      </w:r>
      <w:r w:rsidRPr="00437FB5">
        <w:t>marginalised</w:t>
      </w:r>
      <w:r>
        <w:t>’</w:t>
      </w:r>
      <w:r w:rsidRPr="00437FB5">
        <w:t xml:space="preserve"> masculinities. Hegemonic masculinities are conceptualised as the ‘currently accepted’ version of being a man in any given context that legitimises patriarchy and maintains male power and privilege over women. Hegemonic masculinities are often portrayed as ‘natural’ or ‘innate’ but are </w:t>
      </w:r>
      <w:proofErr w:type="gramStart"/>
      <w:r>
        <w:t xml:space="preserve">actually </w:t>
      </w:r>
      <w:r w:rsidRPr="00437FB5">
        <w:t>unachievable</w:t>
      </w:r>
      <w:proofErr w:type="gramEnd"/>
      <w:r w:rsidRPr="00437FB5">
        <w:t xml:space="preserve"> for the majority of men. Hence, they are a set of idealised values, stereotypes, </w:t>
      </w:r>
      <w:proofErr w:type="gramStart"/>
      <w:r w:rsidRPr="00437FB5">
        <w:t>norms</w:t>
      </w:r>
      <w:proofErr w:type="gramEnd"/>
      <w:r w:rsidRPr="00437FB5">
        <w:t xml:space="preserve"> and practices that are promoted by individual men who exemplify these ideals</w:t>
      </w:r>
      <w:r>
        <w:t>. F</w:t>
      </w:r>
      <w:r w:rsidRPr="00437FB5">
        <w:t xml:space="preserve">or example, </w:t>
      </w:r>
      <w:r>
        <w:t xml:space="preserve">hegemonic masculinities may be displayed by </w:t>
      </w:r>
      <w:r w:rsidR="00EB4008" w:rsidRPr="00EB4008">
        <w:t>high-profile or powerful men, including</w:t>
      </w:r>
      <w:r w:rsidR="00356C95">
        <w:t xml:space="preserve">, </w:t>
      </w:r>
      <w:r w:rsidR="00EB4008" w:rsidRPr="00EB4008">
        <w:t>for example</w:t>
      </w:r>
      <w:r w:rsidR="00356C95">
        <w:t>,</w:t>
      </w:r>
      <w:r w:rsidR="00EB4008" w:rsidRPr="00EB4008">
        <w:t xml:space="preserve"> sports stars or </w:t>
      </w:r>
      <w:r w:rsidR="00B06AA7">
        <w:t>Members of Parliament</w:t>
      </w:r>
      <w:r w:rsidRPr="00437FB5">
        <w:t xml:space="preserve">, </w:t>
      </w:r>
      <w:r>
        <w:t xml:space="preserve">meaning they </w:t>
      </w:r>
      <w:r w:rsidRPr="00437FB5">
        <w:t>are also upheld</w:t>
      </w:r>
      <w:r>
        <w:t xml:space="preserve"> within</w:t>
      </w:r>
      <w:r w:rsidR="0040659C">
        <w:t xml:space="preserve"> </w:t>
      </w:r>
      <w:r>
        <w:t>—and policed by—</w:t>
      </w:r>
      <w:r w:rsidRPr="00437FB5">
        <w:t xml:space="preserve"> our social, </w:t>
      </w:r>
      <w:proofErr w:type="gramStart"/>
      <w:r w:rsidRPr="00437FB5">
        <w:t>political</w:t>
      </w:r>
      <w:proofErr w:type="gramEnd"/>
      <w:r w:rsidRPr="00437FB5">
        <w:t xml:space="preserve"> and economic structures and institution</w:t>
      </w:r>
      <w:r>
        <w:t>s</w:t>
      </w:r>
      <w:r w:rsidRPr="00437FB5">
        <w:t xml:space="preserve"> </w:t>
      </w:r>
      <w:r>
        <w:t>(</w:t>
      </w:r>
      <w:r w:rsidRPr="00437FB5">
        <w:t>Our Watch 2019</w:t>
      </w:r>
      <w:r>
        <w:t>,</w:t>
      </w:r>
      <w:r w:rsidRPr="00437FB5">
        <w:t xml:space="preserve"> p. 24). </w:t>
      </w:r>
    </w:p>
    <w:p w14:paraId="2793ADA4" w14:textId="77777777" w:rsidR="007221B4" w:rsidRDefault="007221B4" w:rsidP="007221B4">
      <w:pPr>
        <w:contextualSpacing/>
      </w:pPr>
    </w:p>
    <w:p w14:paraId="6779218D" w14:textId="77777777" w:rsidR="007221B4" w:rsidRPr="00A10C81" w:rsidRDefault="007221B4" w:rsidP="007221B4">
      <w:pPr>
        <w:contextualSpacing/>
      </w:pPr>
      <w:r>
        <w:t>These ‘hegemonic’ or d</w:t>
      </w:r>
      <w:r w:rsidRPr="00437FB5">
        <w:t>ominant forms of masculinities</w:t>
      </w:r>
      <w:r>
        <w:t xml:space="preserve"> </w:t>
      </w:r>
      <w:r w:rsidRPr="00437FB5">
        <w:t xml:space="preserve">are (re)produced, </w:t>
      </w:r>
      <w:proofErr w:type="gramStart"/>
      <w:r w:rsidRPr="00437FB5">
        <w:t>promoted</w:t>
      </w:r>
      <w:proofErr w:type="gramEnd"/>
      <w:r w:rsidRPr="00437FB5">
        <w:t xml:space="preserve"> and practiced in institutions and other formal settings such as workplaces, schools and sport, as well as more informal settings, such as in relationships, families, and other social settings.</w:t>
      </w:r>
      <w:r w:rsidRPr="002A1C17">
        <w:t xml:space="preserve"> </w:t>
      </w:r>
      <w:proofErr w:type="gramStart"/>
      <w:r>
        <w:t>This shapes</w:t>
      </w:r>
      <w:proofErr w:type="gramEnd"/>
      <w:r>
        <w:t xml:space="preserve"> </w:t>
      </w:r>
      <w:r w:rsidRPr="00437FB5">
        <w:t>gendered power relations across the socioecological model: where we live, work and play</w:t>
      </w:r>
      <w:r>
        <w:t xml:space="preserve">. </w:t>
      </w:r>
      <w:r w:rsidRPr="00437FB5">
        <w:t xml:space="preserve">Consequently, there are particular norms, attitudes and practices </w:t>
      </w:r>
      <w:proofErr w:type="gramStart"/>
      <w:r w:rsidRPr="00437FB5">
        <w:t>that men</w:t>
      </w:r>
      <w:proofErr w:type="gramEnd"/>
      <w:r w:rsidRPr="00437FB5">
        <w:t xml:space="preserve"> feel pressure to conform to and support. </w:t>
      </w:r>
      <w:r>
        <w:t>These</w:t>
      </w:r>
      <w:r w:rsidRPr="00437FB5">
        <w:t xml:space="preserve"> include autonomy, dominance and control, </w:t>
      </w:r>
      <w:proofErr w:type="gramStart"/>
      <w:r w:rsidRPr="00437FB5">
        <w:t>aggression</w:t>
      </w:r>
      <w:proofErr w:type="gramEnd"/>
      <w:r w:rsidRPr="00437FB5">
        <w:t xml:space="preserve"> and toughness, risk-taking, stoicism and the suppression of emotion, hypersexuality and compulsory heterosexuality (Our Watch 2019, p. 45; see also Rainbow Health 2020). </w:t>
      </w:r>
      <w:r>
        <w:rPr>
          <w:i/>
          <w:iCs/>
        </w:rPr>
        <w:t xml:space="preserve">Men in focus </w:t>
      </w:r>
      <w:r>
        <w:t xml:space="preserve">illustrates how rigid attachment to these stereotypes impacts women </w:t>
      </w:r>
      <w:r w:rsidRPr="006423B5">
        <w:rPr>
          <w:i/>
          <w:iCs/>
        </w:rPr>
        <w:t>and men</w:t>
      </w:r>
      <w:r>
        <w:t xml:space="preserve"> negatively (Our Watch 2019). </w:t>
      </w:r>
    </w:p>
    <w:p w14:paraId="2D09082C" w14:textId="77777777" w:rsidR="007221B4" w:rsidRPr="00437FB5" w:rsidRDefault="007221B4" w:rsidP="007221B4">
      <w:pPr>
        <w:contextualSpacing/>
      </w:pPr>
    </w:p>
    <w:p w14:paraId="4E8B53AE" w14:textId="77777777" w:rsidR="007221B4" w:rsidRPr="00437FB5" w:rsidRDefault="007221B4" w:rsidP="007221B4">
      <w:pPr>
        <w:spacing w:after="120"/>
      </w:pPr>
      <w:r>
        <w:t xml:space="preserve">Another study </w:t>
      </w:r>
      <w:r w:rsidRPr="007F50DB">
        <w:rPr>
          <w:i/>
          <w:iCs/>
        </w:rPr>
        <w:t>‘The Man Box’</w:t>
      </w:r>
      <w:r w:rsidRPr="00437FB5">
        <w:t xml:space="preserve"> is an example that clearly demonstrates the pressures men feel to adhere to </w:t>
      </w:r>
      <w:r>
        <w:t>stereotypical</w:t>
      </w:r>
      <w:r w:rsidRPr="00437FB5">
        <w:t xml:space="preserve"> beliefs</w:t>
      </w:r>
      <w:r>
        <w:t xml:space="preserve"> of masculinity</w:t>
      </w:r>
      <w:r w:rsidRPr="00437FB5">
        <w:t xml:space="preserve"> and the negative impacts </w:t>
      </w:r>
      <w:r w:rsidRPr="00437FB5">
        <w:lastRenderedPageBreak/>
        <w:t>and outcomes when they do. In Australia, social pressures around being a ‘real man’ impact the lives of most young men at a very young age, with two thirds of young men being told from a young age about what it means to behave as a ‘real man’. Framed as inside and outside the man box, those inside it report the poorest outcomes on mental health, experiencing and/or perpetrating bullying, violence, perpetrating sexual harassment, alcohol use, and car accidents. Such beliefs have real consequences on young men themselves and those around them. Some alarming findings from the study include:</w:t>
      </w:r>
    </w:p>
    <w:p w14:paraId="5AEB6676" w14:textId="079168FC" w:rsidR="007221B4" w:rsidRPr="007221B4" w:rsidRDefault="007221B4"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7221B4">
        <w:rPr>
          <w:rFonts w:ascii="Arial" w:hAnsi="Arial" w:cs="Arial"/>
          <w:color w:val="000000" w:themeColor="text1"/>
        </w:rPr>
        <w:t>20% believe that men should use violence to get respect if necessary</w:t>
      </w:r>
      <w:r w:rsidR="00083F66">
        <w:rPr>
          <w:rFonts w:ascii="Arial" w:hAnsi="Arial" w:cs="Arial"/>
          <w:color w:val="000000" w:themeColor="text1"/>
        </w:rPr>
        <w:t>.</w:t>
      </w:r>
    </w:p>
    <w:p w14:paraId="13C6A073" w14:textId="3C64F17F" w:rsidR="007221B4" w:rsidRPr="007221B4" w:rsidRDefault="007221B4"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7221B4">
        <w:rPr>
          <w:rFonts w:ascii="Arial" w:hAnsi="Arial" w:cs="Arial"/>
          <w:color w:val="000000" w:themeColor="text1"/>
        </w:rPr>
        <w:t>56% of men believe a ‘real man’ would never say no to sex</w:t>
      </w:r>
      <w:r w:rsidR="00083F66">
        <w:rPr>
          <w:rFonts w:ascii="Arial" w:hAnsi="Arial" w:cs="Arial"/>
          <w:color w:val="000000" w:themeColor="text1"/>
        </w:rPr>
        <w:t>.</w:t>
      </w:r>
    </w:p>
    <w:p w14:paraId="46061E9D" w14:textId="3422F6DB" w:rsidR="007221B4" w:rsidRPr="007221B4" w:rsidRDefault="007221B4"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7221B4">
        <w:rPr>
          <w:rFonts w:ascii="Arial" w:hAnsi="Arial" w:cs="Arial"/>
          <w:color w:val="000000" w:themeColor="text1"/>
        </w:rPr>
        <w:t>43% believe a man should always have the final say about decisions in his relationship or marriage</w:t>
      </w:r>
      <w:r w:rsidR="00083F66">
        <w:rPr>
          <w:rFonts w:ascii="Arial" w:hAnsi="Arial" w:cs="Arial"/>
          <w:color w:val="000000" w:themeColor="text1"/>
        </w:rPr>
        <w:t>.</w:t>
      </w:r>
    </w:p>
    <w:p w14:paraId="73D147C5" w14:textId="0D5294CB" w:rsidR="007221B4" w:rsidRPr="007221B4" w:rsidRDefault="007221B4"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7221B4">
        <w:rPr>
          <w:rFonts w:ascii="Arial" w:hAnsi="Arial" w:cs="Arial"/>
          <w:color w:val="000000" w:themeColor="text1"/>
        </w:rPr>
        <w:t>44% believe if a guy has a girlfriend or wife, he deserves to know where she is all the time</w:t>
      </w:r>
      <w:r w:rsidR="00083F66">
        <w:rPr>
          <w:rFonts w:ascii="Arial" w:hAnsi="Arial" w:cs="Arial"/>
          <w:color w:val="000000" w:themeColor="text1"/>
        </w:rPr>
        <w:t>.</w:t>
      </w:r>
    </w:p>
    <w:p w14:paraId="3848C647" w14:textId="42A5BD19" w:rsidR="007221B4" w:rsidRPr="007221B4" w:rsidRDefault="007221B4" w:rsidP="00B01F9C">
      <w:pPr>
        <w:pStyle w:val="NormalWeb"/>
        <w:numPr>
          <w:ilvl w:val="0"/>
          <w:numId w:val="10"/>
        </w:numPr>
        <w:tabs>
          <w:tab w:val="clear" w:pos="720"/>
        </w:tabs>
        <w:spacing w:before="0" w:beforeAutospacing="0" w:after="120" w:afterAutospacing="0"/>
        <w:ind w:left="425" w:hanging="357"/>
        <w:rPr>
          <w:rFonts w:ascii="Arial" w:hAnsi="Arial" w:cs="Arial"/>
          <w:color w:val="000000" w:themeColor="text1"/>
        </w:rPr>
      </w:pPr>
      <w:r w:rsidRPr="007221B4">
        <w:rPr>
          <w:rFonts w:ascii="Arial" w:hAnsi="Arial" w:cs="Arial"/>
          <w:color w:val="000000" w:themeColor="text1"/>
        </w:rPr>
        <w:t xml:space="preserve">35% believe that men should really be the ones to bring money home to provide for their families, not women. </w:t>
      </w:r>
    </w:p>
    <w:p w14:paraId="64BFD706" w14:textId="77777777" w:rsidR="007221B4" w:rsidRPr="00437FB5" w:rsidRDefault="007221B4" w:rsidP="007221B4">
      <w:pPr>
        <w:contextualSpacing/>
      </w:pPr>
      <w:r w:rsidRPr="00437FB5">
        <w:t xml:space="preserve">As Flood notes, “one of the starkest findings in </w:t>
      </w:r>
      <w:r w:rsidRPr="00437FB5">
        <w:rPr>
          <w:i/>
          <w:iCs/>
        </w:rPr>
        <w:t xml:space="preserve">The Man Box </w:t>
      </w:r>
      <w:r w:rsidRPr="00437FB5">
        <w:t>study is that men with higher levels of conformity to traditional masculinity are far more likely to perpetrate violence, both against women and against other men. Those ‘further’ in the Man Box are much more likely to perpetrate violence, and much less likely to intervene in others’ violence” (The Men’s Project</w:t>
      </w:r>
      <w:r>
        <w:t xml:space="preserve"> and Flood</w:t>
      </w:r>
      <w:r w:rsidRPr="00437FB5">
        <w:t xml:space="preserve"> 2018, p. 49). </w:t>
      </w:r>
    </w:p>
    <w:p w14:paraId="2EA8E596" w14:textId="77777777" w:rsidR="007221B4" w:rsidRPr="00437FB5" w:rsidRDefault="007221B4" w:rsidP="007221B4">
      <w:pPr>
        <w:contextualSpacing/>
      </w:pPr>
    </w:p>
    <w:p w14:paraId="207C6E41" w14:textId="1E1BD98A" w:rsidR="007221B4" w:rsidRDefault="007221B4" w:rsidP="007221B4">
      <w:pPr>
        <w:contextualSpacing/>
      </w:pPr>
      <w:r w:rsidRPr="00437FB5">
        <w:t xml:space="preserve">Taken together, this research indicates that a substantial minority of Australians, especially men, condone violence against women (excusing, justifying, trivialising, downplaying and shifting blame), support men’s control of decision-making in public </w:t>
      </w:r>
      <w:r w:rsidRPr="00437FB5">
        <w:t>and private life, and conform to rigid gender roles and stereotypical constructions of masculinity (</w:t>
      </w:r>
      <w:proofErr w:type="gramStart"/>
      <w:r w:rsidRPr="00437FB5">
        <w:t>e.g.</w:t>
      </w:r>
      <w:proofErr w:type="gramEnd"/>
      <w:r w:rsidRPr="00437FB5">
        <w:t xml:space="preserve"> control and dominance), thus sustaining the gendered drivers of violence against women. These “dominant forms and patterns of masculinity… can create and give legitimacy to an overall system of gender inequality and, at their most harmful, help drive violence against women” (Our Watch 2019, p. 44). The persistence of these kinds of attitudes and behaviours, and these dominant forms and constructions of masculinity helps explain why efforts to challenge these ideas about men’s and women’s roles or gender stereotype</w:t>
      </w:r>
      <w:r>
        <w:t>s and v</w:t>
      </w:r>
      <w:r w:rsidRPr="00437FB5">
        <w:t>iolence and power relations</w:t>
      </w:r>
      <w:r>
        <w:t xml:space="preserve"> at individual, interpersonal </w:t>
      </w:r>
      <w:r w:rsidRPr="005456C2">
        <w:t xml:space="preserve">and </w:t>
      </w:r>
      <w:r>
        <w:t>structural levels</w:t>
      </w:r>
      <w:r w:rsidRPr="00437FB5">
        <w:t xml:space="preserve"> are often met with resistance.</w:t>
      </w:r>
    </w:p>
    <w:p w14:paraId="17894DE8" w14:textId="097E6991" w:rsidR="007221B4" w:rsidRDefault="007221B4" w:rsidP="007221B4">
      <w:pPr>
        <w:contextualSpacing/>
      </w:pPr>
    </w:p>
    <w:p w14:paraId="432A362D" w14:textId="2D753B8E" w:rsidR="007221B4" w:rsidRPr="007221B4" w:rsidRDefault="007221B4" w:rsidP="007221B4">
      <w:pPr>
        <w:spacing w:after="120"/>
      </w:pPr>
      <w:r w:rsidRPr="007221B4">
        <w:t xml:space="preserve">Specifically, Flood (2019, p. 323) </w:t>
      </w:r>
      <w:r w:rsidR="00B06AA7">
        <w:t xml:space="preserve">expresses the view </w:t>
      </w:r>
      <w:r w:rsidRPr="007221B4">
        <w:t>that men’s resistance to primary prevention efforts has roots in:</w:t>
      </w:r>
    </w:p>
    <w:p w14:paraId="456D4027" w14:textId="7A50EAF4" w:rsidR="007221B4" w:rsidRPr="007221B4" w:rsidRDefault="007221B4" w:rsidP="00B01F9C">
      <w:pPr>
        <w:pStyle w:val="ListParagraph"/>
        <w:widowControl/>
        <w:numPr>
          <w:ilvl w:val="0"/>
          <w:numId w:val="11"/>
        </w:numPr>
        <w:autoSpaceDE/>
        <w:autoSpaceDN/>
        <w:spacing w:before="0" w:after="120"/>
      </w:pPr>
      <w:r w:rsidRPr="007221B4">
        <w:t>Men’s attitudes and beliefs, believing that violence against women is a problem for a small minority of pathological men (see Highlight Box 2 &amp; 4)</w:t>
      </w:r>
      <w:r w:rsidR="00083F66">
        <w:t>.</w:t>
      </w:r>
      <w:r w:rsidRPr="007221B4">
        <w:t xml:space="preserve"> </w:t>
      </w:r>
    </w:p>
    <w:p w14:paraId="0B42EFEA" w14:textId="77777777" w:rsidR="007221B4" w:rsidRPr="007221B4" w:rsidRDefault="007221B4" w:rsidP="00B01F9C">
      <w:pPr>
        <w:pStyle w:val="ListParagraph"/>
        <w:widowControl/>
        <w:numPr>
          <w:ilvl w:val="0"/>
          <w:numId w:val="11"/>
        </w:numPr>
        <w:autoSpaceDE/>
        <w:autoSpaceDN/>
        <w:spacing w:before="0" w:after="120"/>
        <w:ind w:left="714" w:hanging="357"/>
      </w:pPr>
      <w:r w:rsidRPr="007221B4">
        <w:t>Men’s identities and emotional investments in gender, where implications that they are complicit in women’s subordination can instigate feelings of defensiveness and/or anger.</w:t>
      </w:r>
    </w:p>
    <w:p w14:paraId="21FA8C06" w14:textId="77777777" w:rsidR="007221B4" w:rsidRPr="007221B4" w:rsidRDefault="007221B4" w:rsidP="00B01F9C">
      <w:pPr>
        <w:pStyle w:val="ListParagraph"/>
        <w:widowControl/>
        <w:numPr>
          <w:ilvl w:val="0"/>
          <w:numId w:val="11"/>
        </w:numPr>
        <w:autoSpaceDE/>
        <w:autoSpaceDN/>
        <w:spacing w:before="0" w:after="120"/>
        <w:ind w:left="714" w:hanging="357"/>
      </w:pPr>
      <w:r w:rsidRPr="007221B4">
        <w:t>Men’s habituated practices and relations in the world, and their participation in taken-for-granted or ‘natural’ practices of power and domination in in their relationships and families.</w:t>
      </w:r>
    </w:p>
    <w:p w14:paraId="4E40C6F5" w14:textId="075285EB" w:rsidR="007221B4" w:rsidRPr="00437FB5" w:rsidRDefault="007221B4" w:rsidP="007221B4">
      <w:pPr>
        <w:contextualSpacing/>
      </w:pPr>
      <w:r w:rsidRPr="00437FB5">
        <w:t xml:space="preserve">Such resistance, asserts Flood, can be based in ignorance and subconscious adherences to gender relations, where men’s implication in </w:t>
      </w:r>
      <w:r w:rsidRPr="00AF328D">
        <w:t>violence</w:t>
      </w:r>
      <w:r w:rsidRPr="00437FB5">
        <w:t xml:space="preserve"> </w:t>
      </w:r>
      <w:r w:rsidR="00AA1CC1">
        <w:t xml:space="preserve">against women </w:t>
      </w:r>
      <w:r w:rsidRPr="00437FB5">
        <w:t xml:space="preserve">can be a shocking realisation. </w:t>
      </w:r>
      <w:r>
        <w:t>On the other hand, m</w:t>
      </w:r>
      <w:r w:rsidRPr="00437FB5">
        <w:t xml:space="preserve">en’s resistance can also </w:t>
      </w:r>
      <w:r w:rsidRPr="00437FB5">
        <w:lastRenderedPageBreak/>
        <w:t>be overtly political with conscious ideological commitments to anti-feminism, and direct involvement in perpetrating sexism and violence such as men’s rights activists (</w:t>
      </w:r>
      <w:r>
        <w:t>s</w:t>
      </w:r>
      <w:r w:rsidRPr="00437FB5">
        <w:t xml:space="preserve">ee </w:t>
      </w:r>
      <w:r w:rsidR="002166A0">
        <w:t>pages 44-48</w:t>
      </w:r>
      <w:r w:rsidRPr="00437FB5">
        <w:t xml:space="preserve">). </w:t>
      </w:r>
    </w:p>
    <w:p w14:paraId="261D7195" w14:textId="77777777" w:rsidR="007221B4" w:rsidRPr="00437FB5" w:rsidRDefault="007221B4" w:rsidP="007221B4">
      <w:pPr>
        <w:contextualSpacing/>
      </w:pPr>
    </w:p>
    <w:p w14:paraId="529B2D08" w14:textId="77777777" w:rsidR="007221B4" w:rsidRPr="00437FB5" w:rsidRDefault="007221B4" w:rsidP="007221B4">
      <w:pPr>
        <w:rPr>
          <w:rFonts w:eastAsia="Times New Roman" w:cs="Calibri"/>
          <w:lang w:eastAsia="en-GB"/>
        </w:rPr>
      </w:pPr>
      <w:r w:rsidRPr="00437FB5">
        <w:t xml:space="preserve">Dominant forms and patterns of masculinity uphold an overall system, which privileges some groups of men over others resulting in some men receiving much greater benefits than others (Our Watch 2019, p. 32; Elliot 2019). Although men as a group are privileged over women there is a hierarchy of men and masculinities, which means that different men have different access to power, </w:t>
      </w:r>
      <w:proofErr w:type="gramStart"/>
      <w:r w:rsidRPr="00437FB5">
        <w:t>privilege</w:t>
      </w:r>
      <w:proofErr w:type="gramEnd"/>
      <w:r w:rsidRPr="00437FB5">
        <w:t xml:space="preserve"> and resources. (Our Watch</w:t>
      </w:r>
      <w:r>
        <w:t xml:space="preserve"> 2019,</w:t>
      </w:r>
      <w:r w:rsidRPr="00437FB5">
        <w:t xml:space="preserve"> pp. 32, 34). As </w:t>
      </w:r>
      <w:r w:rsidRPr="00437FB5">
        <w:rPr>
          <w:i/>
          <w:iCs/>
        </w:rPr>
        <w:t>Men in focus</w:t>
      </w:r>
      <w:r w:rsidRPr="00437FB5">
        <w:t xml:space="preserve"> describes, “c</w:t>
      </w:r>
      <w:r w:rsidRPr="00437FB5">
        <w:rPr>
          <w:lang w:eastAsia="en-GB"/>
        </w:rPr>
        <w:t>isgender heterosexual white men, men without disability, generally hold greater power and status than other men. In fact, men’s privilege is often held at the expense of other men — for not being white, not being straight, or not being wealthy, and so on</w:t>
      </w:r>
      <w:r w:rsidRPr="00437FB5">
        <w:t>” (Our Watch 2019, p. 39).</w:t>
      </w:r>
      <w:r>
        <w:rPr>
          <w:rFonts w:eastAsia="Times New Roman" w:cs="Calibri"/>
          <w:color w:val="3F3F3F"/>
          <w:lang w:eastAsia="en-GB"/>
        </w:rPr>
        <w:t xml:space="preserve"> </w:t>
      </w:r>
      <w:r w:rsidRPr="00437FB5">
        <w:rPr>
          <w:rFonts w:eastAsia="Times New Roman" w:cs="Calibri"/>
          <w:lang w:eastAsia="en-GB"/>
        </w:rPr>
        <w:t>Hence, challenging such privilege can be seen as a threat and is often met with resistance and backlash</w:t>
      </w:r>
      <w:r>
        <w:rPr>
          <w:rFonts w:eastAsia="Times New Roman" w:cs="Calibri"/>
          <w:lang w:eastAsia="en-GB"/>
        </w:rPr>
        <w:t>.</w:t>
      </w:r>
    </w:p>
    <w:p w14:paraId="261B65D2" w14:textId="77777777" w:rsidR="007221B4" w:rsidRPr="00437FB5" w:rsidRDefault="007221B4" w:rsidP="007221B4">
      <w:pPr>
        <w:contextualSpacing/>
        <w:rPr>
          <w:rFonts w:eastAsia="Times New Roman" w:cs="Calibri"/>
          <w:color w:val="3F3F3F"/>
          <w:lang w:eastAsia="en-GB"/>
        </w:rPr>
      </w:pPr>
    </w:p>
    <w:p w14:paraId="041E01EF" w14:textId="77777777" w:rsidR="007221B4" w:rsidRPr="00437FB5" w:rsidRDefault="007221B4" w:rsidP="007221B4">
      <w:pPr>
        <w:contextualSpacing/>
        <w:rPr>
          <w:rFonts w:cs="Calibri"/>
          <w:color w:val="000000" w:themeColor="text1"/>
        </w:rPr>
      </w:pPr>
      <w:r w:rsidRPr="00437FB5">
        <w:rPr>
          <w:rFonts w:cs="Calibri"/>
          <w:color w:val="000000" w:themeColor="text1"/>
        </w:rPr>
        <w:t>Privilege can be defined as “systematically conferred advantages individuals enjoy by virtue of their membership in dominant groups with access to resources and institutional power that are beyond the common advantages of marginalised citizens” (Bailey 1998, p. 1098, cited in Flood and Pease 2005, p. 4). Membership of a particular group confers privilege onto an individual; it is a structural and societal conferral of privilege that individuals enjoy and often explicitly and implicitly maintain. In other words, the group an individual belongs to (by virtue of their gender, sexuality, class, or race for example) often determines the forms of privilege they experience, rather than their individual abilities</w:t>
      </w:r>
      <w:r>
        <w:rPr>
          <w:rFonts w:cs="Calibri"/>
          <w:color w:val="000000" w:themeColor="text1"/>
        </w:rPr>
        <w:t xml:space="preserve"> (something important to remember in discussions around meritocracies for example)</w:t>
      </w:r>
      <w:r w:rsidRPr="00437FB5">
        <w:rPr>
          <w:rFonts w:cs="Calibri"/>
          <w:color w:val="000000" w:themeColor="text1"/>
        </w:rPr>
        <w:t>.</w:t>
      </w:r>
    </w:p>
    <w:p w14:paraId="4FECC088" w14:textId="77777777" w:rsidR="007221B4" w:rsidRPr="00437FB5" w:rsidRDefault="007221B4" w:rsidP="007221B4">
      <w:pPr>
        <w:contextualSpacing/>
      </w:pPr>
      <w:r w:rsidRPr="00437FB5">
        <w:rPr>
          <w:rFonts w:cs="Calibri"/>
          <w:color w:val="000000" w:themeColor="text1"/>
        </w:rPr>
        <w:t>Privilege is often invisible, where members are unaware of the difference in access to benefits, perceiving such access as normal and unlikely to then be able to acknowledge the experiences of marginalised groups: “</w:t>
      </w:r>
      <w:r w:rsidRPr="00437FB5">
        <w:rPr>
          <w:rFonts w:cstheme="minorHAnsi"/>
        </w:rPr>
        <w:t>By simply exercising their prerogatives in everyday life, they can easily ignore how others are denied the same opportunities” (Flood and Pease 2005, p. 5)</w:t>
      </w:r>
      <w:r w:rsidRPr="00437FB5">
        <w:rPr>
          <w:rFonts w:cs="Calibri"/>
          <w:color w:val="000000" w:themeColor="text1"/>
        </w:rPr>
        <w:t xml:space="preserve">. Consequently, the normalisation of privilege and dominant norms it (re)produces become the standard for what is valued and devalued, considered superior and inferior, and shapes perceptions around positionings of self and other. For example, in relation to how occupations are gendered, Flood and Pease describe (2005, p. 6): </w:t>
      </w:r>
    </w:p>
    <w:p w14:paraId="79A9AA1F" w14:textId="432F6E12" w:rsidR="007221B4" w:rsidRPr="00C17070" w:rsidRDefault="00783577" w:rsidP="005B69EE">
      <w:pPr>
        <w:spacing w:before="120" w:after="120"/>
        <w:ind w:left="567" w:right="522"/>
        <w:rPr>
          <w:rFonts w:eastAsia="Times New Roman" w:cs="Times New Roman"/>
          <w:i/>
          <w:iCs/>
          <w:color w:val="000000" w:themeColor="text1"/>
          <w:lang w:eastAsia="en-GB"/>
        </w:rPr>
      </w:pPr>
      <w:r>
        <w:rPr>
          <w:rFonts w:eastAsia="Times New Roman" w:cs="Times New Roman"/>
          <w:i/>
          <w:iCs/>
          <w:color w:val="000000" w:themeColor="text1"/>
          <w:lang w:eastAsia="en-GB"/>
        </w:rPr>
        <w:t>T</w:t>
      </w:r>
      <w:r w:rsidR="007221B4" w:rsidRPr="00C17070">
        <w:rPr>
          <w:rFonts w:eastAsia="Times New Roman" w:cs="Times New Roman"/>
          <w:i/>
          <w:iCs/>
          <w:color w:val="000000" w:themeColor="text1"/>
          <w:lang w:eastAsia="en-GB"/>
        </w:rPr>
        <w:t xml:space="preserve">he normalisation of men’s privilege is evident in the first instance in powerful gendered constructions of occupation. Various occupations are coded as intrinsically male: they are assumed to be held and practised by men, and deviations from this are marked as “other”. For example, in everyday conversation one hears of “doctors”, implicitly male, and “woman doctors”, marked by their not being “[male] doctors”. Constructions of appropriate occupational roles for men and women are embedded too in the cultures of workplaces themselves, thus sustaining gendered divisions of labour. </w:t>
      </w:r>
    </w:p>
    <w:p w14:paraId="534B4BA6" w14:textId="2AD112EA" w:rsidR="002452B6" w:rsidRDefault="002452B6" w:rsidP="002452B6">
      <w:pPr>
        <w:contextualSpacing/>
        <w:rPr>
          <w:rFonts w:cs="Calibri"/>
          <w:color w:val="000000" w:themeColor="text1"/>
        </w:rPr>
      </w:pPr>
      <w:r w:rsidRPr="002452B6">
        <w:rPr>
          <w:rFonts w:cs="Calibri"/>
          <w:color w:val="000000" w:themeColor="text1"/>
        </w:rPr>
        <w:t xml:space="preserve">This analysis of privilege helps us understand the dynamics of resistance and backlash. Members of privileged groups often do not recognise or understand what their privilege means or become angry and defensive when their privileged status is challenged or problematised. Further, there is an expectation that privilege brings happiness and fulfillment, and when this is </w:t>
      </w:r>
      <w:r w:rsidRPr="002452B6">
        <w:rPr>
          <w:rFonts w:cs="Calibri"/>
          <w:color w:val="000000" w:themeColor="text1"/>
        </w:rPr>
        <w:lastRenderedPageBreak/>
        <w:t xml:space="preserve">not the case, this absence is sometimes used to deny the existence of privilege, becoming a justification of (sometimes violent) resistance to change (such as individual men who may be </w:t>
      </w:r>
      <w:proofErr w:type="gramStart"/>
      <w:r w:rsidRPr="002452B6">
        <w:rPr>
          <w:rFonts w:cs="Calibri"/>
          <w:color w:val="000000" w:themeColor="text1"/>
        </w:rPr>
        <w:t>economically disadvantaged</w:t>
      </w:r>
      <w:proofErr w:type="gramEnd"/>
      <w:r w:rsidRPr="002452B6">
        <w:rPr>
          <w:rFonts w:cs="Calibri"/>
          <w:color w:val="000000" w:themeColor="text1"/>
        </w:rPr>
        <w:t xml:space="preserve"> compared to some women may decry their male privilege) (Flood and Pease 2005, pp. 5-6). Violence and aggression can even be a reaction to a decrease in privilege. </w:t>
      </w:r>
    </w:p>
    <w:p w14:paraId="3DA33A6B" w14:textId="1669D767" w:rsidR="002452B6" w:rsidRDefault="002452B6" w:rsidP="002452B6">
      <w:pPr>
        <w:contextualSpacing/>
        <w:rPr>
          <w:rFonts w:cs="Calibri"/>
          <w:color w:val="000000" w:themeColor="text1"/>
        </w:rPr>
      </w:pPr>
    </w:p>
    <w:p w14:paraId="66094295" w14:textId="60326BF7" w:rsidR="002452B6" w:rsidRDefault="002452B6" w:rsidP="002452B6">
      <w:pPr>
        <w:contextualSpacing/>
        <w:rPr>
          <w:rFonts w:cs="Calibri"/>
          <w:color w:val="000000" w:themeColor="text1"/>
        </w:rPr>
      </w:pPr>
      <w:r w:rsidRPr="002452B6">
        <w:rPr>
          <w:rFonts w:cs="Calibri"/>
          <w:noProof/>
          <w:color w:val="000000" w:themeColor="text1"/>
        </w:rPr>
        <mc:AlternateContent>
          <mc:Choice Requires="wps">
            <w:drawing>
              <wp:anchor distT="0" distB="0" distL="114300" distR="114300" simplePos="0" relativeHeight="251717632" behindDoc="0" locked="0" layoutInCell="1" allowOverlap="1" wp14:anchorId="1A6634BA" wp14:editId="5B832445">
                <wp:simplePos x="0" y="0"/>
                <wp:positionH relativeFrom="margin">
                  <wp:align>left</wp:align>
                </wp:positionH>
                <wp:positionV relativeFrom="paragraph">
                  <wp:posOffset>3133090</wp:posOffset>
                </wp:positionV>
                <wp:extent cx="2672080" cy="148844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672080" cy="1488440"/>
                        </a:xfrm>
                        <a:prstGeom prst="rect">
                          <a:avLst/>
                        </a:prstGeom>
                        <a:noFill/>
                        <a:ln w="6350">
                          <a:noFill/>
                        </a:ln>
                      </wps:spPr>
                      <wps:txbx>
                        <w:txbxContent>
                          <w:p w14:paraId="28B69BCC" w14:textId="77777777" w:rsidR="007F50DB" w:rsidRPr="002452B6" w:rsidRDefault="007F50DB" w:rsidP="002452B6">
                            <w:pPr>
                              <w:pStyle w:val="IntenseQuote"/>
                              <w:rPr>
                                <w:sz w:val="24"/>
                              </w:rPr>
                            </w:pPr>
                            <w:r w:rsidRPr="002452B6">
                              <w:rPr>
                                <w:sz w:val="24"/>
                              </w:rPr>
                              <w:t>Privilege is “not merely an individual attribute, like a pair of shoes one can remove and discard: it is also built into the fabric of institutions and organizations” (Messner 2011, p.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634BA" id="Text Box 17" o:spid="_x0000_s1032" type="#_x0000_t202" style="position:absolute;margin-left:0;margin-top:246.7pt;width:210.4pt;height:117.2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" filled="f" stroked="f" strokeweight=".5pt">
                <v:textbox>
                  <w:txbxContent>
                    <w:p w14:paraId="28B69BCC" w14:textId="77777777" w:rsidR="007F50DB" w:rsidRPr="002452B6" w:rsidRDefault="007F50DB" w:rsidP="002452B6">
                      <w:pPr>
                        <w:pStyle w:val="IntenseQuote"/>
                        <w:rPr>
                          <w:sz w:val="24"/>
                        </w:rPr>
                      </w:pPr>
                      <w:r w:rsidRPr="002452B6">
                        <w:rPr>
                          <w:sz w:val="24"/>
                        </w:rPr>
                        <w:t>Privilege is “not merely an individual attribute, like a pair of shoes one can remove and discard: it is also built into the fabric of institutions and organizations” (Messner 2011, p. 5).</w:t>
                      </w:r>
                    </w:p>
                  </w:txbxContent>
                </v:textbox>
                <w10:wrap type="square" anchorx="margin"/>
              </v:shape>
            </w:pict>
          </mc:Fallback>
        </mc:AlternateContent>
      </w:r>
      <w:proofErr w:type="spellStart"/>
      <w:r w:rsidRPr="002452B6">
        <w:rPr>
          <w:rFonts w:cs="Calibri"/>
          <w:color w:val="000000" w:themeColor="text1"/>
        </w:rPr>
        <w:t>Peretz</w:t>
      </w:r>
      <w:proofErr w:type="spellEnd"/>
      <w:r w:rsidRPr="002452B6">
        <w:rPr>
          <w:rFonts w:cs="Calibri"/>
          <w:color w:val="000000" w:themeColor="text1"/>
        </w:rPr>
        <w:t xml:space="preserve"> (2020, p. 448) asserts that the question around men’s privilege is not whether men can see it, but “</w:t>
      </w:r>
      <w:r w:rsidR="00D06773">
        <w:rPr>
          <w:rFonts w:cs="Calibri"/>
          <w:color w:val="000000" w:themeColor="text1"/>
        </w:rPr>
        <w:t>‘</w:t>
      </w:r>
      <w:r w:rsidRPr="002452B6">
        <w:rPr>
          <w:rFonts w:cs="Calibri"/>
          <w:color w:val="000000" w:themeColor="text1"/>
        </w:rPr>
        <w:t>[w]</w:t>
      </w:r>
      <w:proofErr w:type="spellStart"/>
      <w:r w:rsidRPr="002452B6">
        <w:rPr>
          <w:rFonts w:cs="Calibri"/>
          <w:color w:val="000000" w:themeColor="text1"/>
        </w:rPr>
        <w:t>hat</w:t>
      </w:r>
      <w:proofErr w:type="spellEnd"/>
      <w:r w:rsidRPr="002452B6">
        <w:rPr>
          <w:rFonts w:cs="Calibri"/>
          <w:color w:val="000000" w:themeColor="text1"/>
        </w:rPr>
        <w:t xml:space="preserve"> happens when men’s own privilege becomes visible?’ Do they cover up, ignore, or maintain their </w:t>
      </w:r>
      <w:proofErr w:type="gramStart"/>
      <w:r w:rsidRPr="002452B6">
        <w:rPr>
          <w:rFonts w:cs="Calibri"/>
          <w:color w:val="000000" w:themeColor="text1"/>
        </w:rPr>
        <w:t>privilege…</w:t>
      </w:r>
      <w:proofErr w:type="gramEnd"/>
      <w:r w:rsidRPr="002452B6">
        <w:rPr>
          <w:rFonts w:cs="Calibri"/>
          <w:color w:val="000000" w:themeColor="text1"/>
        </w:rPr>
        <w:t xml:space="preserve"> How do they respond to and navigate their own privilege made visible?” In this analysis of men’s self-reflection of their privilege, “</w:t>
      </w:r>
      <w:r w:rsidR="00AA1CC1">
        <w:rPr>
          <w:rFonts w:cs="Calibri"/>
          <w:color w:val="000000" w:themeColor="text1"/>
        </w:rPr>
        <w:t>[e]</w:t>
      </w:r>
      <w:r w:rsidRPr="002452B6">
        <w:rPr>
          <w:rFonts w:cs="Calibri"/>
          <w:color w:val="000000" w:themeColor="text1"/>
        </w:rPr>
        <w:t>ven once the “invisible knapsack” is made visible, privilege still exists, despite men’s efforts to curtail it” (</w:t>
      </w:r>
      <w:proofErr w:type="spellStart"/>
      <w:r w:rsidRPr="002452B6">
        <w:rPr>
          <w:rFonts w:cs="Calibri"/>
          <w:color w:val="000000" w:themeColor="text1"/>
        </w:rPr>
        <w:t>Peretz</w:t>
      </w:r>
      <w:proofErr w:type="spellEnd"/>
      <w:r w:rsidRPr="002452B6">
        <w:rPr>
          <w:rFonts w:cs="Calibri"/>
          <w:color w:val="000000" w:themeColor="text1"/>
        </w:rPr>
        <w:t xml:space="preserve">, 2020, p. 471). This, </w:t>
      </w:r>
      <w:proofErr w:type="spellStart"/>
      <w:r w:rsidRPr="002452B6">
        <w:rPr>
          <w:rFonts w:cs="Calibri"/>
          <w:color w:val="000000" w:themeColor="text1"/>
        </w:rPr>
        <w:t>Peretz</w:t>
      </w:r>
      <w:proofErr w:type="spellEnd"/>
      <w:r w:rsidRPr="002452B6">
        <w:rPr>
          <w:rFonts w:cs="Calibri"/>
          <w:color w:val="000000" w:themeColor="text1"/>
        </w:rPr>
        <w:t xml:space="preserve"> argues, lends strong support to focus on the institutional, </w:t>
      </w:r>
      <w:proofErr w:type="gramStart"/>
      <w:r w:rsidRPr="002452B6">
        <w:rPr>
          <w:rFonts w:cs="Calibri"/>
          <w:color w:val="000000" w:themeColor="text1"/>
        </w:rPr>
        <w:t>structural</w:t>
      </w:r>
      <w:proofErr w:type="gramEnd"/>
      <w:r w:rsidRPr="002452B6">
        <w:rPr>
          <w:rFonts w:cs="Calibri"/>
          <w:color w:val="000000" w:themeColor="text1"/>
        </w:rPr>
        <w:t xml:space="preserve"> and cultural dynamics that sustain privilege, rather than individual attributes only. </w:t>
      </w:r>
    </w:p>
    <w:p w14:paraId="63102AF5" w14:textId="24BB1520" w:rsidR="002452B6" w:rsidRDefault="002452B6" w:rsidP="002452B6">
      <w:pPr>
        <w:contextualSpacing/>
        <w:rPr>
          <w:rFonts w:cs="Calibri"/>
          <w:color w:val="000000" w:themeColor="text1"/>
        </w:rPr>
      </w:pPr>
    </w:p>
    <w:p w14:paraId="7249F5C3" w14:textId="5D5F980F" w:rsidR="002452B6" w:rsidRPr="002452B6" w:rsidRDefault="002452B6" w:rsidP="002452B6">
      <w:pPr>
        <w:contextualSpacing/>
        <w:rPr>
          <w:rFonts w:cs="Calibri"/>
          <w:color w:val="000000" w:themeColor="text1"/>
        </w:rPr>
      </w:pPr>
      <w:r w:rsidRPr="002452B6">
        <w:rPr>
          <w:rFonts w:cs="Calibri"/>
          <w:color w:val="000000" w:themeColor="text1"/>
        </w:rPr>
        <w:t xml:space="preserve">Therefore, resistance can be anticipated from dominant groups who feel threatened by initiatives that are aimed at institutional, </w:t>
      </w:r>
      <w:proofErr w:type="gramStart"/>
      <w:r w:rsidRPr="002452B6">
        <w:rPr>
          <w:rFonts w:cs="Calibri"/>
          <w:color w:val="000000" w:themeColor="text1"/>
        </w:rPr>
        <w:t>structural</w:t>
      </w:r>
      <w:proofErr w:type="gramEnd"/>
      <w:r w:rsidRPr="002452B6">
        <w:rPr>
          <w:rFonts w:cs="Calibri"/>
          <w:color w:val="000000" w:themeColor="text1"/>
        </w:rPr>
        <w:t xml:space="preserve"> and cultural changes such as primary prevention of violence against women and broader gender equality projects.</w:t>
      </w:r>
      <w:r>
        <w:rPr>
          <w:rFonts w:cs="Calibri"/>
          <w:color w:val="000000" w:themeColor="text1"/>
        </w:rPr>
        <w:t xml:space="preserve"> </w:t>
      </w:r>
      <w:r w:rsidRPr="002452B6">
        <w:rPr>
          <w:rFonts w:cs="Calibri"/>
          <w:color w:val="000000" w:themeColor="text1"/>
        </w:rPr>
        <w:t xml:space="preserve">For example, thinking about how privileged groups may react to organisational diversity and inclusion initiatives, </w:t>
      </w:r>
      <w:proofErr w:type="spellStart"/>
      <w:r w:rsidRPr="002452B6">
        <w:rPr>
          <w:rFonts w:cs="Calibri"/>
          <w:color w:val="000000" w:themeColor="text1"/>
        </w:rPr>
        <w:t>Plaut</w:t>
      </w:r>
      <w:proofErr w:type="spellEnd"/>
      <w:r w:rsidRPr="002452B6">
        <w:rPr>
          <w:rFonts w:cs="Calibri"/>
          <w:color w:val="000000" w:themeColor="text1"/>
        </w:rPr>
        <w:t xml:space="preserve"> et al., (2020) identify </w:t>
      </w:r>
      <w:r w:rsidRPr="002452B6">
        <w:rPr>
          <w:rFonts w:cs="Calibri"/>
          <w:color w:val="000000" w:themeColor="text1"/>
        </w:rPr>
        <w:t xml:space="preserve">different and multiple types of threats dominant groups perceive related to their group status: </w:t>
      </w:r>
    </w:p>
    <w:p w14:paraId="68809A91" w14:textId="77777777" w:rsidR="002452B6" w:rsidRPr="002452B6" w:rsidRDefault="002452B6" w:rsidP="002452B6">
      <w:pPr>
        <w:contextualSpacing/>
        <w:rPr>
          <w:rFonts w:cs="Calibri"/>
          <w:color w:val="000000" w:themeColor="text1"/>
        </w:rPr>
      </w:pPr>
    </w:p>
    <w:p w14:paraId="2BA08184" w14:textId="77777777" w:rsidR="002452B6" w:rsidRPr="002452B6" w:rsidRDefault="002452B6" w:rsidP="00B01F9C">
      <w:pPr>
        <w:pStyle w:val="ListParagraph"/>
        <w:widowControl/>
        <w:numPr>
          <w:ilvl w:val="0"/>
          <w:numId w:val="12"/>
        </w:numPr>
        <w:autoSpaceDE/>
        <w:autoSpaceDN/>
        <w:spacing w:before="0" w:after="120"/>
      </w:pPr>
      <w:r w:rsidRPr="002452B6">
        <w:t xml:space="preserve">Prototypicality threats, the fear that one’s subgroup will no longer be the quintessential representative in a field, </w:t>
      </w:r>
      <w:proofErr w:type="gramStart"/>
      <w:r w:rsidRPr="002452B6">
        <w:t>organisation</w:t>
      </w:r>
      <w:proofErr w:type="gramEnd"/>
      <w:r w:rsidRPr="002452B6">
        <w:t xml:space="preserve"> or institution. </w:t>
      </w:r>
    </w:p>
    <w:p w14:paraId="479581B7" w14:textId="77777777" w:rsidR="002452B6" w:rsidRPr="002452B6" w:rsidRDefault="002452B6" w:rsidP="00B01F9C">
      <w:pPr>
        <w:pStyle w:val="ListParagraph"/>
        <w:widowControl/>
        <w:numPr>
          <w:ilvl w:val="0"/>
          <w:numId w:val="12"/>
        </w:numPr>
        <w:autoSpaceDE/>
        <w:autoSpaceDN/>
        <w:spacing w:before="0" w:after="120"/>
      </w:pPr>
      <w:r w:rsidRPr="002452B6">
        <w:t xml:space="preserve">Group status threat is perceiving that one’s groups’ societal status is in jeopardy due to diversity efforts. </w:t>
      </w:r>
    </w:p>
    <w:p w14:paraId="4D9E1E60" w14:textId="77777777" w:rsidR="002452B6" w:rsidRPr="002452B6" w:rsidRDefault="002452B6" w:rsidP="00B01F9C">
      <w:pPr>
        <w:pStyle w:val="ListParagraph"/>
        <w:widowControl/>
        <w:numPr>
          <w:ilvl w:val="0"/>
          <w:numId w:val="12"/>
        </w:numPr>
        <w:autoSpaceDE/>
        <w:autoSpaceDN/>
        <w:spacing w:before="0" w:after="120"/>
      </w:pPr>
      <w:r w:rsidRPr="002452B6">
        <w:t xml:space="preserve">Symbolic threats relate to perceived threats to one group’s culture, values, and/or beliefs where in response to the inclusion of other groups culture/values/beliefs in a country, workplace, community etc., dominant group narratives of the social and political context may be challenged, causing resistance to those changes. </w:t>
      </w:r>
    </w:p>
    <w:p w14:paraId="46001AFF" w14:textId="77777777" w:rsidR="002452B6" w:rsidRPr="002452B6" w:rsidRDefault="002452B6" w:rsidP="00B01F9C">
      <w:pPr>
        <w:pStyle w:val="ListParagraph"/>
        <w:widowControl/>
        <w:numPr>
          <w:ilvl w:val="0"/>
          <w:numId w:val="12"/>
        </w:numPr>
        <w:autoSpaceDE/>
        <w:autoSpaceDN/>
        <w:spacing w:before="0" w:after="120"/>
      </w:pPr>
      <w:r w:rsidRPr="002452B6">
        <w:t xml:space="preserve">Perceived or ‘realistic threats’ to resources such as jobs, property, food and so on can catalyse intergroup conflict, prejudice, and stereotyping of non-dominant ‘outgroups’ where the advancement of marginalised groups due to initiatives such as affirmative action or quotas, may be perceived by dominant groups as threatening to their own job security, resources like pay, and opportunities. </w:t>
      </w:r>
    </w:p>
    <w:p w14:paraId="0D18857A" w14:textId="77777777" w:rsidR="002452B6" w:rsidRPr="002452B6" w:rsidRDefault="002452B6" w:rsidP="00B01F9C">
      <w:pPr>
        <w:pStyle w:val="ListParagraph"/>
        <w:widowControl/>
        <w:numPr>
          <w:ilvl w:val="0"/>
          <w:numId w:val="12"/>
        </w:numPr>
        <w:autoSpaceDE/>
        <w:autoSpaceDN/>
        <w:spacing w:before="0" w:after="120"/>
      </w:pPr>
      <w:r w:rsidRPr="002452B6">
        <w:t>Meritocratic threats, where there is a possibility that one’s achievements are not based on personal merit, but rather privilege.</w:t>
      </w:r>
    </w:p>
    <w:p w14:paraId="00C54ED3" w14:textId="77777777" w:rsidR="002452B6" w:rsidRPr="002452B6" w:rsidRDefault="002452B6" w:rsidP="00B01F9C">
      <w:pPr>
        <w:pStyle w:val="ListParagraph"/>
        <w:widowControl/>
        <w:numPr>
          <w:ilvl w:val="0"/>
          <w:numId w:val="12"/>
        </w:numPr>
        <w:autoSpaceDE/>
        <w:autoSpaceDN/>
        <w:spacing w:before="0" w:after="120"/>
      </w:pPr>
      <w:r w:rsidRPr="002452B6">
        <w:t>Perceived exclusion, where diversity efforts are seen as excluding a group, (</w:t>
      </w:r>
      <w:proofErr w:type="gramStart"/>
      <w:r w:rsidRPr="002452B6">
        <w:t>e.g.</w:t>
      </w:r>
      <w:proofErr w:type="gramEnd"/>
      <w:r w:rsidRPr="002452B6">
        <w:t xml:space="preserve"> workplace gender equality initiatives excluding men).</w:t>
      </w:r>
    </w:p>
    <w:p w14:paraId="31E6EE64" w14:textId="77777777" w:rsidR="002452B6" w:rsidRDefault="002452B6" w:rsidP="002452B6">
      <w:pPr>
        <w:pStyle w:val="BodyText1"/>
      </w:pPr>
      <w:r>
        <w:t xml:space="preserve">Building understanding of the different forms of ‘threats’ privileged groups may perceive can be helpful to develop the type of strategies needed to minimise and </w:t>
      </w:r>
      <w:r>
        <w:lastRenderedPageBreak/>
        <w:t xml:space="preserve">respond to potential and actual resistance and backlash (Part 4 and 5). This is especially useful to think about in introducing violence prevention change initiatives in institutions, given that such change processes challenge the status quo in terms of formal and informal norms, practices and structures. </w:t>
      </w:r>
    </w:p>
    <w:p w14:paraId="4FA83F78" w14:textId="77777777" w:rsidR="002452B6" w:rsidRDefault="002452B6" w:rsidP="002452B6">
      <w:pPr>
        <w:pStyle w:val="BodyText1"/>
      </w:pPr>
      <w:r w:rsidRPr="00C4511B">
        <w:rPr>
          <w:i/>
          <w:iCs/>
        </w:rPr>
        <w:t>Men in focus</w:t>
      </w:r>
      <w:r>
        <w:t xml:space="preserve"> highlights this with regards to men’s experiences of ‘gender role stress’ when they feel that their masculinity is being challenged or is under threat, or when those who are invested in attaining ideals of dominant forms of masculinity feel stress in not being able to embody these (Our Watch 2019, p. 51). This can increase the likelihood of displaying sexist attitudes, aggression, sexual </w:t>
      </w:r>
      <w:proofErr w:type="gramStart"/>
      <w:r>
        <w:t>harassment</w:t>
      </w:r>
      <w:proofErr w:type="gramEnd"/>
      <w:r>
        <w:t xml:space="preserve"> and violence against women as ways to affirm masculinity. </w:t>
      </w:r>
    </w:p>
    <w:p w14:paraId="0D45462B" w14:textId="72C70445" w:rsidR="002452B6" w:rsidRDefault="002452B6" w:rsidP="002452B6">
      <w:pPr>
        <w:pStyle w:val="BodyText1"/>
      </w:pPr>
      <w:r>
        <w:t xml:space="preserve">For example, research by Dahl, </w:t>
      </w:r>
      <w:proofErr w:type="spellStart"/>
      <w:r>
        <w:t>Vesico</w:t>
      </w:r>
      <w:proofErr w:type="spellEnd"/>
      <w:r>
        <w:t xml:space="preserve"> and Weaver (2015) found that men who were outperformed by women in traditionally masculine areas responded with anger and behaved in ways that sexually objectified women. This corresponds with some of the forms of resistance </w:t>
      </w:r>
      <w:r w:rsidR="00EB4008">
        <w:t xml:space="preserve">observed </w:t>
      </w:r>
      <w:r>
        <w:t>in reaction to primary prevention of violence against women efforts that seek to challenge male privilege and question and change the norms and practices that are associated with dominant forms of masculinities.</w:t>
      </w:r>
    </w:p>
    <w:p w14:paraId="5FD7F11D" w14:textId="77777777" w:rsidR="002452B6" w:rsidRDefault="002452B6" w:rsidP="002452B6">
      <w:pPr>
        <w:pStyle w:val="BodyText1"/>
      </w:pPr>
      <w:r>
        <w:t xml:space="preserve">Male privilege and dominant masculinities are intimately linked to how our institutions and systems are structured in patriarchal ways that privilege men, reinforced by and inextricably interwoven with gendered norms and practices. This privilege is reinforced and intersects with other structures including race, </w:t>
      </w:r>
      <w:r>
        <w:t xml:space="preserve">heteronormativity, cisnormativity, ability and class. </w:t>
      </w:r>
    </w:p>
    <w:p w14:paraId="7BBB0679" w14:textId="77777777" w:rsidR="002452B6" w:rsidRDefault="002452B6" w:rsidP="002452B6">
      <w:pPr>
        <w:pStyle w:val="BodyText1"/>
      </w:pPr>
      <w:r>
        <w:t xml:space="preserve">For example, in Australia, the ongoing impacts of colonisation and entrenched racist social norms, attitudes and practices are embedded in social, </w:t>
      </w:r>
      <w:proofErr w:type="gramStart"/>
      <w:r>
        <w:t>political</w:t>
      </w:r>
      <w:proofErr w:type="gramEnd"/>
      <w:r>
        <w:t xml:space="preserve"> and economic structures (Our Watch 2018). Non-Indigenous, white men and women monopolise privilege, power and resources over Aboriginal and Torres Strait Islander people and people of colour. </w:t>
      </w:r>
    </w:p>
    <w:p w14:paraId="76F3950A" w14:textId="4C03F945" w:rsidR="007221B4" w:rsidRDefault="002452B6" w:rsidP="002452B6">
      <w:pPr>
        <w:pStyle w:val="BodyText1"/>
        <w:rPr>
          <w:lang w:bidi="en-AU"/>
        </w:rPr>
      </w:pPr>
      <w:r>
        <w:t xml:space="preserve">Challenging structural inequalities that marginalise </w:t>
      </w:r>
      <w:proofErr w:type="gramStart"/>
      <w:r>
        <w:t>particular groups</w:t>
      </w:r>
      <w:proofErr w:type="gramEnd"/>
      <w:r>
        <w:t xml:space="preserve"> of men must be included to effectively address violence against women because the “hierarchy of men serves to maintain the status quo and to continue to privilege men as a group over women as group, while also conferring greater</w:t>
      </w:r>
      <w:r w:rsidRPr="002452B6">
        <w:rPr>
          <w:lang w:bidi="en-AU"/>
        </w:rPr>
        <w:t xml:space="preserve"> amounts of power and status to particular groups of men” (Our Watch 2019, p. 39).</w:t>
      </w:r>
    </w:p>
    <w:p w14:paraId="4910A5BD" w14:textId="57FBAD4C" w:rsidR="002452B6" w:rsidRPr="00437FB5" w:rsidRDefault="002452B6" w:rsidP="002452B6">
      <w:r w:rsidRPr="00437FB5">
        <w:t xml:space="preserve">Nevertheless, although some men receive less benefits than some women, dominant forms of masculinities and male privilege </w:t>
      </w:r>
      <w:r w:rsidR="00EB4008">
        <w:t xml:space="preserve">underpin many of </w:t>
      </w:r>
      <w:r w:rsidRPr="00437FB5">
        <w:t xml:space="preserve">Australia’s structures and systems. As </w:t>
      </w:r>
      <w:r w:rsidRPr="00437FB5">
        <w:rPr>
          <w:i/>
          <w:iCs/>
        </w:rPr>
        <w:t xml:space="preserve">Men in focus </w:t>
      </w:r>
      <w:r w:rsidRPr="00437FB5">
        <w:t xml:space="preserve">summarises: </w:t>
      </w:r>
    </w:p>
    <w:p w14:paraId="05457D82" w14:textId="11C8405D" w:rsidR="002452B6" w:rsidRPr="00C17070" w:rsidRDefault="002452B6" w:rsidP="00C17070">
      <w:pPr>
        <w:spacing w:before="120" w:after="120"/>
        <w:ind w:left="284" w:right="522"/>
        <w:rPr>
          <w:rFonts w:eastAsia="Times New Roman" w:cs="Times New Roman"/>
          <w:i/>
          <w:iCs/>
          <w:color w:val="000000" w:themeColor="text1"/>
          <w:lang w:eastAsia="en-GB"/>
        </w:rPr>
      </w:pPr>
      <w:r w:rsidRPr="00C17070">
        <w:rPr>
          <w:rFonts w:eastAsia="Times New Roman" w:cs="Times New Roman"/>
          <w:i/>
          <w:iCs/>
          <w:color w:val="000000" w:themeColor="text1"/>
          <w:lang w:eastAsia="en-GB"/>
        </w:rPr>
        <w:t>[O]</w:t>
      </w:r>
      <w:proofErr w:type="spellStart"/>
      <w:r w:rsidRPr="00C17070">
        <w:rPr>
          <w:rFonts w:eastAsia="Times New Roman" w:cs="Times New Roman"/>
          <w:i/>
          <w:iCs/>
          <w:color w:val="000000" w:themeColor="text1"/>
          <w:lang w:eastAsia="en-GB"/>
        </w:rPr>
        <w:t>ur</w:t>
      </w:r>
      <w:proofErr w:type="spellEnd"/>
      <w:r w:rsidRPr="00C17070">
        <w:rPr>
          <w:rFonts w:eastAsia="Times New Roman" w:cs="Times New Roman"/>
          <w:i/>
          <w:iCs/>
          <w:color w:val="000000" w:themeColor="text1"/>
          <w:lang w:eastAsia="en-GB"/>
        </w:rPr>
        <w:t xml:space="preserve"> institutions and systems are structured in ways that privilege men over women. In our legal system, our political system, in the workplace and in the family, in sports organisations and community groups, men continue to hold </w:t>
      </w:r>
      <w:proofErr w:type="gramStart"/>
      <w:r w:rsidRPr="00C17070">
        <w:rPr>
          <w:rFonts w:eastAsia="Times New Roman" w:cs="Times New Roman"/>
          <w:i/>
          <w:iCs/>
          <w:color w:val="000000" w:themeColor="text1"/>
          <w:lang w:eastAsia="en-GB"/>
        </w:rPr>
        <w:t>the majority of</w:t>
      </w:r>
      <w:proofErr w:type="gramEnd"/>
      <w:r w:rsidRPr="00C17070">
        <w:rPr>
          <w:rFonts w:eastAsia="Times New Roman" w:cs="Times New Roman"/>
          <w:i/>
          <w:iCs/>
          <w:color w:val="000000" w:themeColor="text1"/>
          <w:lang w:eastAsia="en-GB"/>
        </w:rPr>
        <w:t xml:space="preserve"> power and influence. Conversely, women often face marginalisation within these social structures. Our laws have commonly policed and regulated women’s bodies; in the workplace there is unequal pay; and in the family unit a division of labour persists where men occupy the public realm while women are </w:t>
      </w:r>
      <w:r w:rsidRPr="00C17070">
        <w:rPr>
          <w:rFonts w:eastAsia="Times New Roman" w:cs="Times New Roman"/>
          <w:i/>
          <w:iCs/>
          <w:color w:val="000000" w:themeColor="text1"/>
          <w:lang w:eastAsia="en-GB"/>
        </w:rPr>
        <w:lastRenderedPageBreak/>
        <w:t xml:space="preserve">expected to take on the domestic and reproductive labour…Women receive lower pay, rarely hold the highest positions in our political and economic institutions, and their bodies are policed by our legal systems. In this way, structures oppress women in a real material sense…these structures also promote </w:t>
      </w:r>
      <w:proofErr w:type="gramStart"/>
      <w:r w:rsidRPr="00C17070">
        <w:rPr>
          <w:rFonts w:eastAsia="Times New Roman" w:cs="Times New Roman"/>
          <w:i/>
          <w:iCs/>
          <w:color w:val="000000" w:themeColor="text1"/>
          <w:lang w:eastAsia="en-GB"/>
        </w:rPr>
        <w:t>particular gender</w:t>
      </w:r>
      <w:proofErr w:type="gramEnd"/>
      <w:r w:rsidRPr="00C17070">
        <w:rPr>
          <w:rFonts w:eastAsia="Times New Roman" w:cs="Times New Roman"/>
          <w:i/>
          <w:iCs/>
          <w:color w:val="000000" w:themeColor="text1"/>
          <w:lang w:eastAsia="en-GB"/>
        </w:rPr>
        <w:t xml:space="preserve"> ideologies, a set of norms and practices that we associate with gender and believe to be natural and proper (Our Watch 2019 p. 40).</w:t>
      </w:r>
    </w:p>
    <w:p w14:paraId="7E2A56D9" w14:textId="62431DE6" w:rsidR="002452B6" w:rsidRPr="00B217DE" w:rsidRDefault="002452B6" w:rsidP="00CF7D4F">
      <w:pPr>
        <w:contextualSpacing/>
      </w:pPr>
      <w:r w:rsidRPr="00437FB5">
        <w:t xml:space="preserve">The material, social and political consequences of gender are very real for women, evidenced by the disproportionate violence women experience. Conversely, </w:t>
      </w:r>
      <w:proofErr w:type="gramStart"/>
      <w:r w:rsidRPr="00437FB5">
        <w:t>explicitly</w:t>
      </w:r>
      <w:proofErr w:type="gramEnd"/>
      <w:r w:rsidRPr="00437FB5">
        <w:t xml:space="preserve"> and implicitly supporting the patriarchal gendered structures, norms and practices that maintain men’s oppositional benefits and privilege delivers real benefits to men. Understanding how masculinities and privilege drive and sustain resistance and backlash to maintain these structural dynamics is critical and fundamental to this work. </w:t>
      </w:r>
    </w:p>
    <w:p w14:paraId="0D2E88F0" w14:textId="1C2E5F3A" w:rsidR="00CF7D4F" w:rsidRPr="005B0690" w:rsidRDefault="00CF7D4F" w:rsidP="005B0690">
      <w:pPr>
        <w:pStyle w:val="Heading2"/>
      </w:pPr>
      <w:bookmarkStart w:id="41" w:name="_Toc85032897"/>
      <w:bookmarkStart w:id="42" w:name="_Toc85620721"/>
      <w:bookmarkStart w:id="43" w:name="_Toc87526309"/>
      <w:r w:rsidRPr="005B0690">
        <w:t>Gendered institutions and organisations</w:t>
      </w:r>
      <w:bookmarkEnd w:id="41"/>
      <w:bookmarkEnd w:id="42"/>
      <w:bookmarkEnd w:id="43"/>
    </w:p>
    <w:p w14:paraId="58FF9442" w14:textId="77777777" w:rsidR="00CF7D4F" w:rsidRPr="00437FB5" w:rsidRDefault="00CF7D4F" w:rsidP="00CF7D4F">
      <w:pPr>
        <w:ind w:left="-6"/>
        <w:contextualSpacing/>
      </w:pPr>
      <w:r w:rsidRPr="00437FB5">
        <w:rPr>
          <w:i/>
          <w:iCs/>
        </w:rPr>
        <w:t xml:space="preserve">Change the story </w:t>
      </w:r>
      <w:r w:rsidRPr="00437FB5">
        <w:t>explicitly and repeatedly points to the importance of a focus on organisational and institutional change, because:</w:t>
      </w:r>
    </w:p>
    <w:p w14:paraId="08A0E76A" w14:textId="77777777" w:rsidR="00855B8C" w:rsidRDefault="00855B8C" w:rsidP="00B94AC3">
      <w:pPr>
        <w:adjustRightInd w:val="0"/>
        <w:spacing w:line="360" w:lineRule="auto"/>
        <w:rPr>
          <w:rFonts w:eastAsiaTheme="minorHAnsi"/>
          <w:sz w:val="20"/>
          <w:szCs w:val="24"/>
        </w:rPr>
      </w:pPr>
    </w:p>
    <w:p w14:paraId="24E91A81" w14:textId="77777777" w:rsidR="00CF7D4F" w:rsidRPr="00C17070" w:rsidRDefault="00CF7D4F" w:rsidP="00C17070">
      <w:pPr>
        <w:spacing w:before="120" w:after="120"/>
        <w:ind w:left="284" w:right="522"/>
        <w:rPr>
          <w:rFonts w:eastAsia="Times New Roman" w:cs="Times New Roman"/>
          <w:i/>
          <w:iCs/>
          <w:color w:val="000000" w:themeColor="text1"/>
          <w:lang w:eastAsia="en-GB"/>
        </w:rPr>
      </w:pPr>
      <w:r w:rsidRPr="00C17070">
        <w:rPr>
          <w:rFonts w:eastAsia="Times New Roman" w:cs="Times New Roman"/>
          <w:i/>
          <w:iCs/>
          <w:color w:val="000000" w:themeColor="text1"/>
          <w:lang w:eastAsia="en-GB"/>
        </w:rPr>
        <w:t xml:space="preserve">The gendered drivers arise from gender discriminatory institutional, </w:t>
      </w:r>
      <w:proofErr w:type="gramStart"/>
      <w:r w:rsidRPr="00C17070">
        <w:rPr>
          <w:rFonts w:eastAsia="Times New Roman" w:cs="Times New Roman"/>
          <w:i/>
          <w:iCs/>
          <w:color w:val="000000" w:themeColor="text1"/>
          <w:lang w:eastAsia="en-GB"/>
        </w:rPr>
        <w:t>social</w:t>
      </w:r>
      <w:proofErr w:type="gramEnd"/>
      <w:r w:rsidRPr="00C17070">
        <w:rPr>
          <w:rFonts w:eastAsia="Times New Roman" w:cs="Times New Roman"/>
          <w:i/>
          <w:iCs/>
          <w:color w:val="000000" w:themeColor="text1"/>
          <w:lang w:eastAsia="en-GB"/>
        </w:rPr>
        <w:t xml:space="preserve"> and economic structures, social and cultural norms, and organisational, community, family and relationship practices that together create environments in which women and men are not considered equal, and violence against women is tolerated and </w:t>
      </w:r>
      <w:r w:rsidRPr="00C17070">
        <w:rPr>
          <w:rFonts w:eastAsia="Times New Roman" w:cs="Times New Roman"/>
          <w:i/>
          <w:iCs/>
          <w:color w:val="000000" w:themeColor="text1"/>
          <w:lang w:eastAsia="en-GB"/>
        </w:rPr>
        <w:t>even condoned.</w:t>
      </w:r>
    </w:p>
    <w:p w14:paraId="1DAA886E" w14:textId="6D341B8B" w:rsidR="00CF7D4F" w:rsidRPr="00437FB5" w:rsidRDefault="00EB4008" w:rsidP="00CF7D4F">
      <w:pPr>
        <w:ind w:firstLine="1"/>
        <w:contextualSpacing/>
      </w:pPr>
      <w:r>
        <w:t>In addition</w:t>
      </w:r>
      <w:r w:rsidR="00783577">
        <w:t>:</w:t>
      </w:r>
      <w:r w:rsidR="00CF7D4F" w:rsidRPr="00437FB5">
        <w:t xml:space="preserve"> </w:t>
      </w:r>
    </w:p>
    <w:p w14:paraId="324094F7" w14:textId="77777777" w:rsidR="00CF7D4F" w:rsidRPr="00C17070" w:rsidRDefault="00CF7D4F" w:rsidP="00C17070">
      <w:pPr>
        <w:spacing w:before="120" w:after="120"/>
        <w:ind w:left="284" w:right="522"/>
        <w:rPr>
          <w:rFonts w:eastAsia="Times New Roman" w:cs="Times New Roman"/>
          <w:i/>
          <w:iCs/>
          <w:color w:val="000000" w:themeColor="text1"/>
          <w:lang w:eastAsia="en-GB"/>
        </w:rPr>
      </w:pPr>
      <w:r w:rsidRPr="00C17070">
        <w:rPr>
          <w:rFonts w:eastAsia="Times New Roman" w:cs="Times New Roman"/>
          <w:i/>
          <w:iCs/>
          <w:color w:val="000000" w:themeColor="text1"/>
          <w:lang w:eastAsia="en-GB"/>
        </w:rPr>
        <w:t xml:space="preserve">Violence against women is condoned both through </w:t>
      </w:r>
      <w:proofErr w:type="gramStart"/>
      <w:r w:rsidRPr="00C17070">
        <w:rPr>
          <w:rFonts w:eastAsia="Times New Roman" w:cs="Times New Roman"/>
          <w:i/>
          <w:iCs/>
          <w:color w:val="000000" w:themeColor="text1"/>
          <w:lang w:eastAsia="en-GB"/>
        </w:rPr>
        <w:t>widely-held</w:t>
      </w:r>
      <w:proofErr w:type="gramEnd"/>
      <w:r w:rsidRPr="00C17070">
        <w:rPr>
          <w:rFonts w:eastAsia="Times New Roman" w:cs="Times New Roman"/>
          <w:i/>
          <w:iCs/>
          <w:color w:val="000000" w:themeColor="text1"/>
          <w:lang w:eastAsia="en-GB"/>
        </w:rPr>
        <w:t xml:space="preserve"> beliefs and attitudes (social norms), and through legal, institutional and organisational structures and practices that reflect and reinforce them.</w:t>
      </w:r>
    </w:p>
    <w:p w14:paraId="0CF956ED" w14:textId="77777777" w:rsidR="00CF7D4F" w:rsidRPr="00437FB5" w:rsidRDefault="00CF7D4F" w:rsidP="00CF7D4F">
      <w:pPr>
        <w:ind w:left="-6"/>
        <w:contextualSpacing/>
      </w:pPr>
      <w:r w:rsidRPr="00437FB5">
        <w:t xml:space="preserve">Institutions are the “formal and informal ‘rules of the game’—profoundly </w:t>
      </w:r>
      <w:proofErr w:type="spellStart"/>
      <w:r w:rsidRPr="00437FB5">
        <w:t>shap</w:t>
      </w:r>
      <w:proofErr w:type="spellEnd"/>
      <w:r w:rsidRPr="00437FB5">
        <w:t>[</w:t>
      </w:r>
      <w:proofErr w:type="spellStart"/>
      <w:r w:rsidRPr="00437FB5">
        <w:t>ing</w:t>
      </w:r>
      <w:proofErr w:type="spellEnd"/>
      <w:r w:rsidRPr="00437FB5">
        <w:t>] political life” (Mackay 2011, p. 181).  There are formal and informal institutions that are multiple and relational with gendered politics inherent in both. Gendered institution means that constructions of masculinity and femininity are fundamental to the daily culture and logic of institutions (</w:t>
      </w:r>
      <w:proofErr w:type="spellStart"/>
      <w:r w:rsidRPr="00437FB5">
        <w:t>Krook</w:t>
      </w:r>
      <w:proofErr w:type="spellEnd"/>
      <w:r w:rsidRPr="00437FB5">
        <w:t xml:space="preserve"> and Mackay, 2011, p. 6). In other words, masculinities and femininities underpin appropriate behaviour and what makes sense, where masculinities are valued over femininities, shaping advantage and disadvantage (Mackay, 2011). </w:t>
      </w:r>
    </w:p>
    <w:p w14:paraId="1CAFD3EE" w14:textId="77777777" w:rsidR="00CF7D4F" w:rsidRDefault="00CF7D4F" w:rsidP="00B94AC3">
      <w:pPr>
        <w:adjustRightInd w:val="0"/>
        <w:spacing w:line="360" w:lineRule="auto"/>
        <w:rPr>
          <w:rFonts w:eastAsiaTheme="minorHAnsi"/>
          <w:sz w:val="20"/>
          <w:szCs w:val="24"/>
        </w:rPr>
      </w:pPr>
    </w:p>
    <w:p w14:paraId="5E57C2A1" w14:textId="77777777" w:rsidR="00CF7D4F" w:rsidRDefault="00CF7D4F" w:rsidP="00CF7D4F">
      <w:r w:rsidRPr="00437FB5">
        <w:t xml:space="preserve">Formal institutions are the explicit political, bureaucratic, legislative, policy and organisational architecture that structures societies. Organisations are a subset of formal institutions where institutional rules are played out, such as a particular workplace and/or setting like schools (Rao and Kelleher, 2003; </w:t>
      </w:r>
      <w:proofErr w:type="spellStart"/>
      <w:r w:rsidRPr="00437FB5">
        <w:t>Krook</w:t>
      </w:r>
      <w:proofErr w:type="spellEnd"/>
      <w:r w:rsidRPr="00437FB5">
        <w:t xml:space="preserve"> and Mackay, 2011). Informal institutions are the practices, discourses, and norms that shape formal institutions. They can contradict or undermine formal rules, where, for instance, the adoption of a law on gender equality can be undermined and resisted by the informal institutions (e.g., defence of privilege) where such a law is implemented (North 1990, p. 6 in </w:t>
      </w:r>
      <w:proofErr w:type="spellStart"/>
      <w:r w:rsidRPr="00437FB5">
        <w:t>Krook</w:t>
      </w:r>
      <w:proofErr w:type="spellEnd"/>
      <w:r w:rsidRPr="00437FB5">
        <w:t xml:space="preserve"> and Mackay, 2011, 11). </w:t>
      </w:r>
    </w:p>
    <w:p w14:paraId="13BC3E8A" w14:textId="77777777" w:rsidR="00CF7D4F" w:rsidRDefault="00CF7D4F" w:rsidP="00CF7D4F"/>
    <w:p w14:paraId="25A1B8D2" w14:textId="031182A9" w:rsidR="00CF7D4F" w:rsidRDefault="00CF7D4F" w:rsidP="00CF7D4F">
      <w:r w:rsidRPr="00437FB5">
        <w:t xml:space="preserve">For example, Australia’s public institutions </w:t>
      </w:r>
      <w:r w:rsidRPr="00437FB5">
        <w:lastRenderedPageBreak/>
        <w:t xml:space="preserve">are made up of different institutional levels all with their own political, legal, bureaucratic, policy, economic and social </w:t>
      </w:r>
      <w:proofErr w:type="gramStart"/>
      <w:r w:rsidRPr="00437FB5">
        <w:t>dynamics</w:t>
      </w:r>
      <w:proofErr w:type="gramEnd"/>
      <w:r w:rsidRPr="00437FB5">
        <w:t xml:space="preserve"> and power relations</w:t>
      </w:r>
      <w:r w:rsidR="009525BF">
        <w:t>. This includes being</w:t>
      </w:r>
      <w:r w:rsidRPr="00437FB5">
        <w:t xml:space="preserve"> a member state in the international system,</w:t>
      </w:r>
      <w:r w:rsidR="00EB4008">
        <w:t xml:space="preserve"> different</w:t>
      </w:r>
      <w:r w:rsidRPr="00437FB5">
        <w:t xml:space="preserve"> Federal, state and territory governments and bureaucracies, and local governments and councils.  Within all these levels there are different types of actors with different tasks, </w:t>
      </w:r>
      <w:proofErr w:type="gramStart"/>
      <w:r w:rsidRPr="00437FB5">
        <w:t>competencies</w:t>
      </w:r>
      <w:proofErr w:type="gramEnd"/>
      <w:r w:rsidRPr="00437FB5">
        <w:t xml:space="preserve"> and roles responsible for processes of change as well as norms and practices that sustain dominant informal institutions. </w:t>
      </w:r>
    </w:p>
    <w:p w14:paraId="42B998BE" w14:textId="77777777" w:rsidR="00CF7D4F" w:rsidRDefault="00CF7D4F" w:rsidP="00CF7D4F"/>
    <w:p w14:paraId="7FDE18FF" w14:textId="51CE34E2" w:rsidR="00CF7D4F" w:rsidRPr="00437FB5" w:rsidRDefault="00CF7D4F" w:rsidP="00CF7D4F">
      <w:r w:rsidRPr="00437FB5">
        <w:t xml:space="preserve">Another example would be an entire sector such as construction or healthcare. These sectors have different </w:t>
      </w:r>
      <w:r w:rsidR="00EB4008">
        <w:t xml:space="preserve">external and internal frameworks, </w:t>
      </w:r>
      <w:proofErr w:type="gramStart"/>
      <w:r w:rsidR="00EB4008">
        <w:t>policies</w:t>
      </w:r>
      <w:proofErr w:type="gramEnd"/>
      <w:r w:rsidR="00EB4008">
        <w:t xml:space="preserve"> and practices</w:t>
      </w:r>
      <w:r w:rsidRPr="00437FB5">
        <w:t>, that influence how an organisation functions in a number of formal and informal ways (workplace policies, rules and regulations, funding, and so on).</w:t>
      </w:r>
    </w:p>
    <w:p w14:paraId="6AE5C28C" w14:textId="77777777" w:rsidR="00CF7D4F" w:rsidRDefault="00CF7D4F" w:rsidP="00B94AC3">
      <w:pPr>
        <w:adjustRightInd w:val="0"/>
        <w:spacing w:line="360" w:lineRule="auto"/>
        <w:rPr>
          <w:rFonts w:eastAsiaTheme="minorHAnsi"/>
          <w:sz w:val="20"/>
          <w:szCs w:val="24"/>
        </w:rPr>
      </w:pPr>
    </w:p>
    <w:p w14:paraId="30477EF8" w14:textId="77777777" w:rsidR="00CF7D4F" w:rsidRPr="00437FB5" w:rsidRDefault="00CF7D4F" w:rsidP="00CF7D4F">
      <w:pPr>
        <w:ind w:left="-6"/>
        <w:contextualSpacing/>
      </w:pPr>
      <w:r w:rsidRPr="00437FB5">
        <w:t xml:space="preserve">Understanding the relationship between formal and informal institutions is critical when analysing change processes where formal institutions can be frustrated, </w:t>
      </w:r>
      <w:proofErr w:type="gramStart"/>
      <w:r w:rsidRPr="00437FB5">
        <w:t>diluted</w:t>
      </w:r>
      <w:proofErr w:type="gramEnd"/>
      <w:r w:rsidRPr="00437FB5">
        <w:t xml:space="preserve"> and complicated by the informal institutions which seek to reassert traditional gender norms. In other words, the informal institutions resist and push back against that change, where often “informal rules in use may serve as a primary site of resistance” (Mackay 2011, p. 184; Chappell, 2011). </w:t>
      </w:r>
    </w:p>
    <w:p w14:paraId="41DECC42" w14:textId="77777777" w:rsidR="00CF7D4F" w:rsidRPr="00437FB5" w:rsidRDefault="00CF7D4F" w:rsidP="00CF7D4F">
      <w:pPr>
        <w:ind w:left="-6"/>
        <w:contextualSpacing/>
      </w:pPr>
    </w:p>
    <w:p w14:paraId="63D3D09B" w14:textId="03D60287" w:rsidR="00CF7D4F" w:rsidRDefault="00CF7D4F" w:rsidP="00CF7D4F">
      <w:pPr>
        <w:ind w:left="-6"/>
        <w:contextualSpacing/>
        <w:rPr>
          <w:rFonts w:eastAsia="Times New Roman" w:cs="Times New Roman"/>
          <w:lang w:eastAsia="en-GB"/>
        </w:rPr>
      </w:pPr>
      <w:r w:rsidRPr="00437FB5">
        <w:rPr>
          <w:i/>
          <w:iCs/>
        </w:rPr>
        <w:t xml:space="preserve">Change the </w:t>
      </w:r>
      <w:r w:rsidR="00EB4008">
        <w:rPr>
          <w:i/>
          <w:iCs/>
        </w:rPr>
        <w:t>s</w:t>
      </w:r>
      <w:r w:rsidRPr="00437FB5">
        <w:rPr>
          <w:i/>
          <w:iCs/>
        </w:rPr>
        <w:t>tory</w:t>
      </w:r>
      <w:r w:rsidRPr="00437FB5">
        <w:t xml:space="preserve"> accounts for formal and informal institutions by highlighting the interrelated nature of gendered structures, </w:t>
      </w:r>
      <w:proofErr w:type="gramStart"/>
      <w:r w:rsidRPr="00437FB5">
        <w:t>norms</w:t>
      </w:r>
      <w:proofErr w:type="gramEnd"/>
      <w:r w:rsidRPr="00437FB5">
        <w:t xml:space="preserve"> and practices across the socioecological model. </w:t>
      </w:r>
      <w:r w:rsidRPr="00437FB5">
        <w:rPr>
          <w:rFonts w:eastAsia="Times New Roman" w:cs="Times New Roman"/>
          <w:lang w:eastAsia="en-GB"/>
        </w:rPr>
        <w:t>Therefore, individuals learn appropriate institutional behaviour where resistance is a marker for an institution’s commitment to gender equality policies (</w:t>
      </w:r>
      <w:proofErr w:type="spellStart"/>
      <w:r>
        <w:rPr>
          <w:rFonts w:eastAsia="Times New Roman" w:cs="Times New Roman"/>
          <w:lang w:eastAsia="en-GB"/>
        </w:rPr>
        <w:t>Agócs</w:t>
      </w:r>
      <w:proofErr w:type="spellEnd"/>
      <w:r w:rsidRPr="00437FB5">
        <w:rPr>
          <w:rFonts w:eastAsia="Times New Roman" w:cs="Times New Roman"/>
          <w:lang w:eastAsia="en-GB"/>
        </w:rPr>
        <w:t xml:space="preserve"> 1997, p. 918; Lombardo and </w:t>
      </w:r>
      <w:proofErr w:type="spellStart"/>
      <w:r w:rsidRPr="00437FB5">
        <w:rPr>
          <w:rFonts w:eastAsia="Times New Roman" w:cs="Times New Roman"/>
          <w:lang w:eastAsia="en-GB"/>
        </w:rPr>
        <w:t>Mergeart</w:t>
      </w:r>
      <w:proofErr w:type="spellEnd"/>
      <w:r w:rsidRPr="00437FB5">
        <w:rPr>
          <w:rFonts w:eastAsia="Times New Roman" w:cs="Times New Roman"/>
          <w:lang w:eastAsia="en-GB"/>
        </w:rPr>
        <w:t xml:space="preserve"> 2013, p. 6). </w:t>
      </w:r>
    </w:p>
    <w:p w14:paraId="4811C8CA" w14:textId="77777777" w:rsidR="00CF7D4F" w:rsidRDefault="00CF7D4F" w:rsidP="00CF7D4F">
      <w:pPr>
        <w:ind w:left="-6"/>
        <w:contextualSpacing/>
        <w:rPr>
          <w:rFonts w:eastAsia="Times New Roman" w:cs="Times New Roman"/>
          <w:lang w:eastAsia="en-GB"/>
        </w:rPr>
      </w:pPr>
    </w:p>
    <w:p w14:paraId="1B4ECEFE" w14:textId="4FF6BF32" w:rsidR="00CF7D4F" w:rsidRPr="00437FB5" w:rsidRDefault="00CF7D4F" w:rsidP="00CF7D4F">
      <w:pPr>
        <w:ind w:left="-6"/>
        <w:contextualSpacing/>
        <w:rPr>
          <w:rFonts w:cs="Times New Roman"/>
        </w:rPr>
      </w:pPr>
      <w:r w:rsidRPr="00437FB5">
        <w:rPr>
          <w:rFonts w:eastAsia="Times New Roman" w:cs="Times New Roman"/>
          <w:lang w:eastAsia="en-GB"/>
        </w:rPr>
        <w:t>Individuals make up institutions and the collective, but the collective and institution also shape individuals’ perceptions of gender and gendered stereotypes. Institutions can resist change processes and strategies through the everyday norms and practices they sustain (</w:t>
      </w:r>
      <w:proofErr w:type="spellStart"/>
      <w:r w:rsidRPr="00437FB5">
        <w:rPr>
          <w:rFonts w:eastAsia="Times New Roman" w:cs="Times New Roman"/>
          <w:lang w:eastAsia="en-GB"/>
        </w:rPr>
        <w:t>Krook</w:t>
      </w:r>
      <w:proofErr w:type="spellEnd"/>
      <w:r w:rsidRPr="00437FB5">
        <w:rPr>
          <w:rFonts w:eastAsia="Times New Roman" w:cs="Times New Roman"/>
          <w:lang w:eastAsia="en-GB"/>
        </w:rPr>
        <w:t xml:space="preserve"> and Mackay, 2011). </w:t>
      </w:r>
      <w:r>
        <w:rPr>
          <w:rFonts w:eastAsia="Times New Roman" w:cs="Times New Roman"/>
          <w:lang w:eastAsia="en-GB"/>
        </w:rPr>
        <w:t>In responding to resistance, both t</w:t>
      </w:r>
      <w:r w:rsidRPr="00437FB5">
        <w:rPr>
          <w:rFonts w:eastAsia="Times New Roman" w:cs="Times New Roman"/>
          <w:lang w:eastAsia="en-GB"/>
        </w:rPr>
        <w:t>op-down and bottom-up measures are necessary to account for the co-constitution of resistance and backlash</w:t>
      </w:r>
      <w:r w:rsidRPr="00437FB5">
        <w:t xml:space="preserve">. </w:t>
      </w:r>
    </w:p>
    <w:p w14:paraId="4CA50B71" w14:textId="77777777" w:rsidR="00CF7D4F" w:rsidRDefault="00CF7D4F" w:rsidP="00B94AC3">
      <w:pPr>
        <w:adjustRightInd w:val="0"/>
        <w:spacing w:line="360" w:lineRule="auto"/>
        <w:rPr>
          <w:rFonts w:eastAsiaTheme="minorHAnsi"/>
          <w:sz w:val="20"/>
          <w:szCs w:val="24"/>
        </w:rPr>
      </w:pPr>
    </w:p>
    <w:p w14:paraId="1B8DB134" w14:textId="26B2480B" w:rsidR="00CF7D4F" w:rsidRPr="007F50DB" w:rsidRDefault="00CF7D4F" w:rsidP="007F50DB">
      <w:pPr>
        <w:pStyle w:val="Heading2"/>
      </w:pPr>
      <w:bookmarkStart w:id="44" w:name="_Toc85032898"/>
      <w:bookmarkStart w:id="45" w:name="_Toc85620722"/>
      <w:bookmarkStart w:id="46" w:name="_Toc87526310"/>
      <w:r w:rsidRPr="007F50DB">
        <w:t>Institutional and organisational resistance</w:t>
      </w:r>
      <w:bookmarkEnd w:id="44"/>
      <w:bookmarkEnd w:id="45"/>
      <w:bookmarkEnd w:id="46"/>
    </w:p>
    <w:p w14:paraId="10D08956" w14:textId="661953A8" w:rsidR="00CF7D4F" w:rsidRPr="00437FB5" w:rsidRDefault="00CF7D4F" w:rsidP="00CF7D4F">
      <w:r w:rsidRPr="00437FB5">
        <w:rPr>
          <w:rFonts w:eastAsia="Times New Roman" w:cstheme="minorHAnsi"/>
          <w:lang w:eastAsia="en-GB"/>
        </w:rPr>
        <w:t xml:space="preserve">Institutional resistance can be defined as patterns of action or inaction to change processes and initiatives that suggests collective resistance to change. </w:t>
      </w:r>
      <w:r>
        <w:rPr>
          <w:rFonts w:eastAsia="Times New Roman" w:cstheme="minorHAnsi"/>
          <w:lang w:eastAsia="en-GB"/>
        </w:rPr>
        <w:t>These can be</w:t>
      </w:r>
      <w:r w:rsidRPr="00437FB5">
        <w:rPr>
          <w:rFonts w:eastAsia="Times New Roman" w:cstheme="minorHAnsi"/>
          <w:lang w:eastAsia="en-GB"/>
        </w:rPr>
        <w:t xml:space="preserve"> actions and structures that seek to halt or roll back realisation of gender equality, but also </w:t>
      </w:r>
      <w:r>
        <w:rPr>
          <w:rFonts w:eastAsia="Times New Roman" w:cstheme="minorHAnsi"/>
          <w:lang w:eastAsia="en-GB"/>
        </w:rPr>
        <w:t xml:space="preserve">include </w:t>
      </w:r>
      <w:r w:rsidRPr="00437FB5">
        <w:rPr>
          <w:rFonts w:eastAsia="Times New Roman" w:cstheme="minorHAnsi"/>
          <w:lang w:eastAsia="en-GB"/>
        </w:rPr>
        <w:t>inactions, absences and silences</w:t>
      </w:r>
      <w:r>
        <w:rPr>
          <w:rFonts w:eastAsia="Times New Roman" w:cstheme="minorHAnsi"/>
          <w:lang w:eastAsia="en-GB"/>
        </w:rPr>
        <w:t xml:space="preserve"> </w:t>
      </w:r>
      <w:r w:rsidRPr="00437FB5">
        <w:rPr>
          <w:rFonts w:eastAsia="Times New Roman" w:cstheme="minorHAnsi"/>
          <w:lang w:eastAsia="en-GB"/>
        </w:rPr>
        <w:t xml:space="preserve">such as a commitment to a policy but </w:t>
      </w:r>
      <w:r w:rsidRPr="00437FB5">
        <w:t>inadequate human and financial resourcing, or leadership distancing themselves from the change process, as well as</w:t>
      </w:r>
      <w:r>
        <w:t xml:space="preserve"> </w:t>
      </w:r>
      <w:r w:rsidRPr="00437FB5">
        <w:t>not recognising and taking into account the ways in which institutions and organisations are gendered in and of themselves (</w:t>
      </w:r>
      <w:proofErr w:type="spellStart"/>
      <w:r>
        <w:t>Agócs</w:t>
      </w:r>
      <w:proofErr w:type="spellEnd"/>
      <w:r w:rsidRPr="00437FB5">
        <w:t xml:space="preserve"> 1997; </w:t>
      </w:r>
      <w:proofErr w:type="spellStart"/>
      <w:r w:rsidRPr="00437FB5">
        <w:t>Mergeart</w:t>
      </w:r>
      <w:proofErr w:type="spellEnd"/>
      <w:r w:rsidRPr="00437FB5">
        <w:t xml:space="preserve"> and Lombardo 2014; Lombardo and </w:t>
      </w:r>
      <w:proofErr w:type="spellStart"/>
      <w:r w:rsidRPr="00437FB5">
        <w:t>Mergaert</w:t>
      </w:r>
      <w:proofErr w:type="spellEnd"/>
      <w:r w:rsidRPr="00437FB5">
        <w:t xml:space="preserve">, 2013; Thomas and </w:t>
      </w:r>
      <w:proofErr w:type="spellStart"/>
      <w:r w:rsidRPr="00437FB5">
        <w:t>Plaut</w:t>
      </w:r>
      <w:proofErr w:type="spellEnd"/>
      <w:r w:rsidRPr="00437FB5">
        <w:t xml:space="preserve"> 2008). Institutionalised resistance is difficult to ‘see’ and has become increasingly sophisticated due to the unacceptability of </w:t>
      </w:r>
      <w:r w:rsidRPr="007B6B60">
        <w:rPr>
          <w:i/>
        </w:rPr>
        <w:t>openly</w:t>
      </w:r>
      <w:r w:rsidRPr="00437FB5">
        <w:t xml:space="preserve"> challenging the norms of gender equality in neoliberal democracies such as Australia (</w:t>
      </w:r>
      <w:proofErr w:type="spellStart"/>
      <w:r w:rsidRPr="007F50DB">
        <w:t>Smolović</w:t>
      </w:r>
      <w:proofErr w:type="spellEnd"/>
      <w:r w:rsidR="00783577">
        <w:t>,</w:t>
      </w:r>
      <w:r w:rsidRPr="007F50DB">
        <w:t xml:space="preserve"> </w:t>
      </w:r>
      <w:r w:rsidRPr="00437FB5">
        <w:t xml:space="preserve">Jones et al., 2020). </w:t>
      </w:r>
    </w:p>
    <w:p w14:paraId="5FD3294D" w14:textId="77777777" w:rsidR="00CF7D4F" w:rsidRDefault="00CF7D4F" w:rsidP="00B94AC3">
      <w:pPr>
        <w:adjustRightInd w:val="0"/>
        <w:spacing w:line="360" w:lineRule="auto"/>
        <w:rPr>
          <w:rFonts w:eastAsiaTheme="minorHAnsi"/>
          <w:sz w:val="20"/>
          <w:szCs w:val="24"/>
        </w:rPr>
      </w:pPr>
    </w:p>
    <w:p w14:paraId="7524A198" w14:textId="77777777" w:rsidR="00CF7D4F" w:rsidRPr="00437FB5" w:rsidRDefault="00CF7D4F" w:rsidP="00CF7D4F">
      <w:r w:rsidRPr="00437FB5">
        <w:t xml:space="preserve">As </w:t>
      </w:r>
      <w:proofErr w:type="spellStart"/>
      <w:r>
        <w:t>Agócs</w:t>
      </w:r>
      <w:proofErr w:type="spellEnd"/>
      <w:r w:rsidRPr="00437FB5">
        <w:t xml:space="preserve"> (1997, p. 918) argues:</w:t>
      </w:r>
    </w:p>
    <w:p w14:paraId="19582AB9" w14:textId="2C090776" w:rsidR="00CF7D4F" w:rsidRPr="00C17070" w:rsidRDefault="00CF7D4F" w:rsidP="00C17070">
      <w:pPr>
        <w:spacing w:before="120" w:after="120"/>
        <w:ind w:left="284" w:right="522"/>
        <w:rPr>
          <w:rFonts w:eastAsia="Times New Roman" w:cs="Times New Roman"/>
          <w:i/>
          <w:iCs/>
          <w:color w:val="000000" w:themeColor="text1"/>
          <w:lang w:eastAsia="en-GB"/>
        </w:rPr>
      </w:pPr>
      <w:r w:rsidRPr="00C17070">
        <w:rPr>
          <w:rFonts w:eastAsia="Times New Roman" w:cs="Times New Roman"/>
          <w:i/>
          <w:iCs/>
          <w:color w:val="000000" w:themeColor="text1"/>
          <w:lang w:eastAsia="en-GB"/>
        </w:rPr>
        <w:t xml:space="preserve">To say that resistance is institutionalized means that it is embedded in and expressed through organizational structures and processes of legitimation, decision-making and resource </w:t>
      </w:r>
      <w:r w:rsidRPr="00C17070">
        <w:rPr>
          <w:rFonts w:eastAsia="Times New Roman" w:cs="Times New Roman"/>
          <w:i/>
          <w:iCs/>
          <w:color w:val="000000" w:themeColor="text1"/>
          <w:lang w:eastAsia="en-GB"/>
        </w:rPr>
        <w:lastRenderedPageBreak/>
        <w:t xml:space="preserve">allocation. Institutionalized resistance may be embodied in decisions to provide or withhold resources, to adopt a new policy or change an established one, or to implement or refuse to implement a policy. Such decisions presuppose the power to command organizational resources, </w:t>
      </w:r>
      <w:r w:rsidR="00163C31">
        <w:rPr>
          <w:rFonts w:eastAsia="Times New Roman" w:cs="Times New Roman"/>
          <w:i/>
          <w:iCs/>
          <w:color w:val="000000" w:themeColor="text1"/>
          <w:lang w:eastAsia="en-GB"/>
        </w:rPr>
        <w:t>including</w:t>
      </w:r>
      <w:r w:rsidRPr="00C17070">
        <w:rPr>
          <w:rFonts w:eastAsia="Times New Roman" w:cs="Times New Roman"/>
          <w:i/>
          <w:iCs/>
          <w:color w:val="000000" w:themeColor="text1"/>
          <w:lang w:eastAsia="en-GB"/>
        </w:rPr>
        <w:t xml:space="preserve"> information and employees’ time, the authority to act or to choose not to act, and the power to legitimate or to silence the voices of those </w:t>
      </w:r>
      <w:r w:rsidRPr="00C17070">
        <w:rPr>
          <w:rFonts w:eastAsia="Times New Roman" w:cs="Times New Roman"/>
          <w:i/>
          <w:iCs/>
          <w:color w:val="000000" w:themeColor="text1"/>
          <w:lang w:eastAsia="en-GB"/>
        </w:rPr>
        <w:t>who advocate for change… power holders can and do use their control over resources and authority to resist change when they perceive it as threatening.</w:t>
      </w:r>
    </w:p>
    <w:p w14:paraId="105801D1" w14:textId="77777777" w:rsidR="00CF7D4F" w:rsidRPr="00437FB5" w:rsidRDefault="00CF7D4F" w:rsidP="00CF7D4F">
      <w:r w:rsidRPr="00437FB5">
        <w:t xml:space="preserve">Such patterns of resistance collectively point to the multi-layered and complex nature and movement between the structural, institutional, </w:t>
      </w:r>
      <w:proofErr w:type="gramStart"/>
      <w:r w:rsidRPr="00437FB5">
        <w:t>organisational</w:t>
      </w:r>
      <w:proofErr w:type="gramEnd"/>
      <w:r w:rsidRPr="00437FB5">
        <w:t xml:space="preserve"> and individual levels and sites of power and decision-making. </w:t>
      </w:r>
    </w:p>
    <w:p w14:paraId="3C9AC9E3" w14:textId="77777777" w:rsidR="00CF7D4F" w:rsidRDefault="00CF7D4F" w:rsidP="00B94AC3">
      <w:pPr>
        <w:adjustRightInd w:val="0"/>
        <w:spacing w:line="360" w:lineRule="auto"/>
        <w:rPr>
          <w:rFonts w:eastAsiaTheme="minorHAnsi"/>
          <w:sz w:val="20"/>
          <w:szCs w:val="24"/>
        </w:rPr>
      </w:pPr>
    </w:p>
    <w:p w14:paraId="245E49D6" w14:textId="632925C4" w:rsidR="00CF7D4F" w:rsidRDefault="00CF7D4F" w:rsidP="00B94AC3">
      <w:pPr>
        <w:adjustRightInd w:val="0"/>
        <w:spacing w:line="360" w:lineRule="auto"/>
        <w:rPr>
          <w:rFonts w:eastAsiaTheme="minorHAnsi"/>
          <w:sz w:val="20"/>
          <w:szCs w:val="24"/>
        </w:rPr>
        <w:sectPr w:rsidR="00CF7D4F" w:rsidSect="007937A4">
          <w:type w:val="continuous"/>
          <w:pgSz w:w="11900" w:h="16850"/>
          <w:pgMar w:top="1340" w:right="1060" w:bottom="1020" w:left="860" w:header="709" w:footer="709" w:gutter="0"/>
          <w:cols w:num="2" w:space="720"/>
          <w:docGrid w:linePitch="326"/>
        </w:sectPr>
      </w:pPr>
    </w:p>
    <w:p w14:paraId="6F1DABFF" w14:textId="3F495A62" w:rsidR="00855B8C" w:rsidRDefault="00855B8C">
      <w:pPr>
        <w:rPr>
          <w:rFonts w:eastAsiaTheme="minorHAnsi"/>
          <w:sz w:val="20"/>
          <w:szCs w:val="24"/>
        </w:rPr>
      </w:pPr>
    </w:p>
    <w:p w14:paraId="7C1D2961" w14:textId="05C96EE5" w:rsidR="00CF7D4F" w:rsidRDefault="00CF7D4F">
      <w:pPr>
        <w:rPr>
          <w:rFonts w:eastAsiaTheme="minorHAnsi"/>
          <w:sz w:val="20"/>
          <w:szCs w:val="24"/>
        </w:rPr>
      </w:pPr>
    </w:p>
    <w:p w14:paraId="10E65498" w14:textId="3495363C" w:rsidR="00855B8C" w:rsidRDefault="00CF7D4F" w:rsidP="007F50DB">
      <w:pPr>
        <w:pStyle w:val="IntenseQuote"/>
        <w:spacing w:after="20"/>
        <w:rPr>
          <w:bCs/>
          <w:i w:val="0"/>
          <w:iCs w:val="0"/>
        </w:rPr>
        <w:sectPr w:rsidR="00855B8C" w:rsidSect="008441EC">
          <w:type w:val="continuous"/>
          <w:pgSz w:w="11900" w:h="16850"/>
          <w:pgMar w:top="1340" w:right="1060" w:bottom="1020" w:left="860" w:header="567" w:footer="824" w:gutter="0"/>
          <w:cols w:space="720"/>
          <w:docGrid w:linePitch="299"/>
        </w:sectPr>
      </w:pPr>
      <w:r w:rsidRPr="00CF7D4F">
        <w:rPr>
          <w:rFonts w:ascii="Arial" w:hAnsi="Arial" w:cs="Arial"/>
          <w:sz w:val="24"/>
        </w:rPr>
        <w:t>If we look at individual, organisational, and structural levels, structures are made up of organisations which are made up of individuals. Resistance depends on what mode a person is acting. Organisations can put in place policies and so on, but what I see and have experienced, is you</w:t>
      </w:r>
      <w:r w:rsidR="00101D78">
        <w:rPr>
          <w:rFonts w:ascii="Arial" w:hAnsi="Arial" w:cs="Arial"/>
          <w:sz w:val="24"/>
        </w:rPr>
        <w:t xml:space="preserve"> </w:t>
      </w:r>
      <w:r w:rsidRPr="00CF7D4F">
        <w:rPr>
          <w:rFonts w:ascii="Arial" w:hAnsi="Arial" w:cs="Arial"/>
          <w:sz w:val="24"/>
        </w:rPr>
        <w:t xml:space="preserve">have an individual who uses denial or backlash but when they're in their role such as chairing a meeting or writing something for example, they will shift to appeasement. They will pick up and drop different types of resistance depending on who is in the audience. They decide what is </w:t>
      </w:r>
      <w:proofErr w:type="gramStart"/>
      <w:r w:rsidRPr="00CF7D4F">
        <w:rPr>
          <w:rFonts w:ascii="Arial" w:hAnsi="Arial" w:cs="Arial"/>
          <w:sz w:val="24"/>
        </w:rPr>
        <w:t>more safe</w:t>
      </w:r>
      <w:proofErr w:type="gramEnd"/>
      <w:r w:rsidRPr="00CF7D4F">
        <w:rPr>
          <w:rFonts w:ascii="Arial" w:hAnsi="Arial" w:cs="Arial"/>
          <w:sz w:val="24"/>
        </w:rPr>
        <w:t xml:space="preserve"> and make a strategic choice. I can't speak to how conscious or not that is, but … privately at work for example, they might say to me ‘why are we even talking about this, what's this got to do with anything?’ but then in a more public setting as a</w:t>
      </w:r>
      <w:r w:rsidR="00967507">
        <w:rPr>
          <w:rFonts w:ascii="Arial" w:hAnsi="Arial" w:cs="Arial"/>
          <w:sz w:val="24"/>
        </w:rPr>
        <w:t>n</w:t>
      </w:r>
      <w:r w:rsidRPr="00CF7D4F">
        <w:rPr>
          <w:rFonts w:ascii="Arial" w:hAnsi="Arial" w:cs="Arial"/>
          <w:sz w:val="24"/>
        </w:rPr>
        <w:t xml:space="preserve"> organisational representative they'll </w:t>
      </w:r>
      <w:proofErr w:type="gramStart"/>
      <w:r w:rsidRPr="00CF7D4F">
        <w:rPr>
          <w:rFonts w:ascii="Arial" w:hAnsi="Arial" w:cs="Arial"/>
          <w:sz w:val="24"/>
        </w:rPr>
        <w:t>say</w:t>
      </w:r>
      <w:proofErr w:type="gramEnd"/>
      <w:r w:rsidRPr="00CF7D4F">
        <w:rPr>
          <w:rFonts w:ascii="Arial" w:hAnsi="Arial" w:cs="Arial"/>
          <w:sz w:val="24"/>
        </w:rPr>
        <w:t xml:space="preserve"> “oh of course we need to do this”. So, there's a strategic use of the different types of resistance in different settings and levels. You might have an organisation that … everything on the organisational level [is promising] but then you get down to the actual doing and then it's appeasement, and then down to the individual in a more private [conversation] and then it's straight up denial or backlash.</w:t>
      </w:r>
      <w:r w:rsidRPr="00CF7D4F">
        <w:rPr>
          <w:rStyle w:val="FootnoteReference"/>
          <w:rFonts w:cs="Arial"/>
          <w:sz w:val="24"/>
        </w:rPr>
        <w:footnoteReference w:id="5"/>
      </w:r>
    </w:p>
    <w:p w14:paraId="30F6B561" w14:textId="3A35DC66" w:rsidR="00CF7D4F" w:rsidRPr="000D7FA6" w:rsidRDefault="00CF7D4F" w:rsidP="007F50DB">
      <w:pPr>
        <w:pStyle w:val="BodyText1"/>
      </w:pPr>
      <w:bookmarkStart w:id="47" w:name="_Toc85032899"/>
      <w:bookmarkStart w:id="48" w:name="_Toc85620723"/>
      <w:r w:rsidRPr="000D7FA6">
        <w:rPr>
          <w:rFonts w:eastAsia="Arial" w:cs="Arial"/>
          <w:b/>
          <w:color w:val="E57200"/>
          <w:sz w:val="32"/>
          <w:szCs w:val="24"/>
          <w:lang w:eastAsia="en-AU" w:bidi="en-AU"/>
        </w:rPr>
        <w:lastRenderedPageBreak/>
        <w:t>Drivers of resistance</w:t>
      </w:r>
      <w:bookmarkEnd w:id="47"/>
      <w:bookmarkEnd w:id="48"/>
    </w:p>
    <w:p w14:paraId="03FC2984" w14:textId="41A419B2" w:rsidR="00CF7D4F" w:rsidRDefault="00CF7D4F" w:rsidP="00CF7D4F">
      <w:r>
        <w:t>Primary prevention of violence against women</w:t>
      </w:r>
      <w:r w:rsidRPr="00437FB5">
        <w:t xml:space="preserve"> explicitly challenge</w:t>
      </w:r>
      <w:r>
        <w:t>s</w:t>
      </w:r>
      <w:r w:rsidRPr="00437FB5">
        <w:t xml:space="preserve"> existing gendered patterns of privilege and power and </w:t>
      </w:r>
      <w:r>
        <w:t>confronts male advantages</w:t>
      </w:r>
      <w:r w:rsidRPr="00437FB5">
        <w:t>.</w:t>
      </w:r>
      <w:r>
        <w:t xml:space="preserve"> </w:t>
      </w:r>
      <w:r w:rsidRPr="00437FB5">
        <w:t>Resistance is</w:t>
      </w:r>
      <w:r>
        <w:t xml:space="preserve"> often</w:t>
      </w:r>
      <w:r w:rsidRPr="00437FB5">
        <w:t xml:space="preserve"> rooted in fear</w:t>
      </w:r>
      <w:r>
        <w:t xml:space="preserve"> and anxiety to these changes: </w:t>
      </w:r>
      <w:r w:rsidRPr="00437FB5">
        <w:t xml:space="preserve">uncertainties of the future, the relinquishment of familiarity and comfortability of the status quo, and frustration due to the lack of control </w:t>
      </w:r>
      <w:r>
        <w:t xml:space="preserve">an individual </w:t>
      </w:r>
      <w:r w:rsidRPr="00437FB5">
        <w:t xml:space="preserve">may feel (Thomas and </w:t>
      </w:r>
      <w:proofErr w:type="spellStart"/>
      <w:r w:rsidRPr="00437FB5">
        <w:t>Plaut</w:t>
      </w:r>
      <w:proofErr w:type="spellEnd"/>
      <w:r w:rsidRPr="00437FB5">
        <w:t xml:space="preserve"> 2008, p. 3). </w:t>
      </w:r>
    </w:p>
    <w:p w14:paraId="7BD16512" w14:textId="77777777" w:rsidR="00CF7D4F" w:rsidRDefault="00CF7D4F" w:rsidP="00CF7D4F"/>
    <w:p w14:paraId="148ED398" w14:textId="77777777" w:rsidR="00DB5CC2" w:rsidRDefault="00CF7D4F" w:rsidP="00CF7D4F">
      <w:r>
        <w:t>Primary prevention of violence against women</w:t>
      </w:r>
      <w:r w:rsidRPr="00437FB5">
        <w:t xml:space="preserve"> challenge</w:t>
      </w:r>
      <w:r>
        <w:t xml:space="preserve">s </w:t>
      </w:r>
      <w:r w:rsidRPr="00437FB5">
        <w:t>individuals’ personal identities and beliefs and encourage</w:t>
      </w:r>
      <w:r>
        <w:t>s</w:t>
      </w:r>
      <w:r w:rsidRPr="00437FB5">
        <w:t xml:space="preserve"> individuals to be critical of gender roles</w:t>
      </w:r>
      <w:r>
        <w:t xml:space="preserve">. As discussed throughout this report, many people who believe in the prevention of violence, do not want to reflect on their own roles in sustaining the gendered drivers of violence. Consequently, </w:t>
      </w:r>
      <w:r w:rsidRPr="00437FB5">
        <w:t xml:space="preserve">resistance can stem from the feeling of a lack of understanding about what gender </w:t>
      </w:r>
      <w:r w:rsidRPr="00CD6B5A">
        <w:rPr>
          <w:i/>
          <w:iCs/>
        </w:rPr>
        <w:t>is</w:t>
      </w:r>
      <w:r>
        <w:t xml:space="preserve"> and how it influences men’s disproportionate perpetration of violence and women’s overall vulnerability to violence</w:t>
      </w:r>
      <w:r w:rsidRPr="00437FB5">
        <w:t xml:space="preserve">. </w:t>
      </w:r>
    </w:p>
    <w:p w14:paraId="3ECF32CD" w14:textId="77777777" w:rsidR="00DB5CC2" w:rsidRDefault="00DB5CC2" w:rsidP="00CF7D4F"/>
    <w:p w14:paraId="2B1F659E" w14:textId="465826A4" w:rsidR="00CF7D4F" w:rsidRDefault="00CF7D4F" w:rsidP="00CF7D4F">
      <w:r>
        <w:t xml:space="preserve">There may also be an unwillingness or hesitancy to recognise how gender shapes individual and collective lives and relationships. Most people want to believe that they are good people who have control over their own lives, rather than their lives being shaped by implicit and explicit power dynamics such as gender.  </w:t>
      </w:r>
    </w:p>
    <w:p w14:paraId="6E8A1E76" w14:textId="77777777" w:rsidR="00CF7D4F" w:rsidRDefault="00CF7D4F" w:rsidP="00CF7D4F"/>
    <w:p w14:paraId="079BA177" w14:textId="7B0A3C70" w:rsidR="00DB5CC2" w:rsidRDefault="00CF7D4F" w:rsidP="00CF7D4F">
      <w:r>
        <w:t xml:space="preserve">More overtly, resistance and backlash can also be driven by strict adherence to stereotyped constructions of masculinities and femininities and strong attachment to patriarchal gender relations that drive violence. This includes claims that feminist social movements have victimised men, such as those made by men’s and fathers’ rights activists and </w:t>
      </w:r>
      <w:proofErr w:type="spellStart"/>
      <w:r>
        <w:t>incels</w:t>
      </w:r>
      <w:proofErr w:type="spellEnd"/>
      <w:r>
        <w:t xml:space="preserve"> (see </w:t>
      </w:r>
      <w:r w:rsidR="002166A0">
        <w:t>44-48</w:t>
      </w:r>
      <w:r>
        <w:t>).</w:t>
      </w:r>
    </w:p>
    <w:p w14:paraId="23C47388" w14:textId="77777777" w:rsidR="00CF7D4F" w:rsidRDefault="00CF7D4F" w:rsidP="00CF7D4F"/>
    <w:p w14:paraId="3AA27CD3" w14:textId="77777777" w:rsidR="00DB5CC2" w:rsidRDefault="00CF7D4F" w:rsidP="00CF7D4F">
      <w:r>
        <w:t>Within institutions and organisations, i</w:t>
      </w:r>
      <w:r w:rsidRPr="00437FB5">
        <w:t>ndividual and collective resistance</w:t>
      </w:r>
      <w:r>
        <w:t xml:space="preserve"> may be driven by insecurities around how primary prevention of violence against women</w:t>
      </w:r>
      <w:r w:rsidRPr="00437FB5">
        <w:t xml:space="preserve"> </w:t>
      </w:r>
      <w:r>
        <w:t xml:space="preserve">will </w:t>
      </w:r>
      <w:r w:rsidRPr="00437FB5">
        <w:t>impact</w:t>
      </w:r>
      <w:r>
        <w:t xml:space="preserve"> people’s</w:t>
      </w:r>
      <w:r w:rsidRPr="00437FB5">
        <w:t xml:space="preserve"> jobs, </w:t>
      </w:r>
      <w:r>
        <w:t xml:space="preserve">their social and professional relationships, changing organisational behaviour and practices that are no longer acceptable, </w:t>
      </w:r>
      <w:r w:rsidRPr="00437FB5">
        <w:t>and other</w:t>
      </w:r>
      <w:r>
        <w:t xml:space="preserve"> organisational </w:t>
      </w:r>
      <w:r w:rsidRPr="00437FB5">
        <w:t>related factors. Resistance can come from a loss of face, where people associated with the previous status quo in an organisation become defensive</w:t>
      </w:r>
      <w:r>
        <w:t xml:space="preserve"> of what was once accepted that they are unwilling to change</w:t>
      </w:r>
      <w:r w:rsidRPr="00437FB5">
        <w:t xml:space="preserve">. </w:t>
      </w:r>
      <w:r>
        <w:t>In other words, w</w:t>
      </w:r>
      <w:r w:rsidRPr="00437FB5">
        <w:t>hen change challenges conformity</w:t>
      </w:r>
      <w:r w:rsidRPr="00437FB5">
        <w:rPr>
          <w:i/>
          <w:iCs/>
        </w:rPr>
        <w:t xml:space="preserve"> </w:t>
      </w:r>
      <w:r w:rsidRPr="00437FB5">
        <w:t>and comfortability with</w:t>
      </w:r>
      <w:r>
        <w:t xml:space="preserve"> a certain</w:t>
      </w:r>
      <w:r w:rsidRPr="00437FB5">
        <w:t xml:space="preserve"> status quo, this can produce resistance. </w:t>
      </w:r>
    </w:p>
    <w:p w14:paraId="14BE43E6" w14:textId="77777777" w:rsidR="00DB5CC2" w:rsidRDefault="00DB5CC2" w:rsidP="00CF7D4F"/>
    <w:p w14:paraId="4290F6C8" w14:textId="069B7403" w:rsidR="00CF7D4F" w:rsidRDefault="00CF7D4F" w:rsidP="00CF7D4F">
      <w:r>
        <w:t xml:space="preserve">For example, ‘locker room talk’ or sexist jokes that were once condoned and even promoted, elicit disapproval and potentially professional and personal sanctions. This may drive people to form even more rigid attachments to harmful norms and practices that contravene changes to establish a new but often fragile status quo that actively challenges the gendered drivers of violence. </w:t>
      </w:r>
    </w:p>
    <w:p w14:paraId="4E583058" w14:textId="77777777" w:rsidR="00CF7D4F" w:rsidRDefault="00CF7D4F" w:rsidP="00CF7D4F"/>
    <w:p w14:paraId="3CFE5574" w14:textId="77777777" w:rsidR="00DB5CC2" w:rsidRDefault="00CF7D4F" w:rsidP="00CF7D4F">
      <w:r w:rsidRPr="00437FB5">
        <w:t xml:space="preserve">Changes to the existing status of privileged groups or the accepted way of doing things </w:t>
      </w:r>
      <w:r>
        <w:t xml:space="preserve">can </w:t>
      </w:r>
      <w:r w:rsidRPr="00437FB5">
        <w:t>threaten perceptions around</w:t>
      </w:r>
      <w:r>
        <w:t xml:space="preserve"> individual</w:t>
      </w:r>
      <w:r w:rsidRPr="00437FB5">
        <w:t xml:space="preserve"> status</w:t>
      </w:r>
      <w:r>
        <w:t xml:space="preserve"> in gender hierarchies. R</w:t>
      </w:r>
      <w:r w:rsidRPr="00437FB5">
        <w:t>aising and discussing gender as a concept can provoke discomfort, fear and/or hostility, particularly in male dominated settings, where certain forms of masculinities (e.g., objectivity, rationality, logic) and men’s priorities are valued</w:t>
      </w:r>
      <w:r>
        <w:t xml:space="preserve">. For example, staff in male dominated sectors may </w:t>
      </w:r>
      <w:r w:rsidRPr="001C7855">
        <w:t xml:space="preserve">reject </w:t>
      </w:r>
      <w:r w:rsidRPr="00F0202D">
        <w:t>processes that are put in place to encourage more diversity in an organisation</w:t>
      </w:r>
      <w:r w:rsidRPr="008A1199">
        <w:t xml:space="preserve"> by targeted recruitment initiatives to bring more women and marginalised groups into an organisation and fast track them into decision-making positions.</w:t>
      </w:r>
      <w:r>
        <w:t xml:space="preserve"> </w:t>
      </w:r>
    </w:p>
    <w:p w14:paraId="0464A63D" w14:textId="77777777" w:rsidR="00DB5CC2" w:rsidRDefault="00DB5CC2" w:rsidP="00CF7D4F"/>
    <w:p w14:paraId="28438A12" w14:textId="04211664" w:rsidR="00CF7D4F" w:rsidRPr="001C7855" w:rsidRDefault="00CF7D4F" w:rsidP="00CF7D4F">
      <w:r>
        <w:lastRenderedPageBreak/>
        <w:t xml:space="preserve">Women and other marginalised groups may feel unworthy or be perceived by others as undeserving of getting into such decision-making positions due to targets or affirmative action processes. As shown in Part 3, this fails to </w:t>
      </w:r>
      <w:proofErr w:type="gramStart"/>
      <w:r>
        <w:t>take into account</w:t>
      </w:r>
      <w:proofErr w:type="gramEnd"/>
      <w:r>
        <w:t xml:space="preserve"> how leadership and merit are gendered in and of themselves. </w:t>
      </w:r>
    </w:p>
    <w:p w14:paraId="42148FCF" w14:textId="77777777" w:rsidR="00CF7D4F" w:rsidRPr="00F0202D" w:rsidRDefault="00CF7D4F" w:rsidP="00CF7D4F"/>
    <w:p w14:paraId="4810366F" w14:textId="4AB9729A" w:rsidR="00DB5CC2" w:rsidRDefault="00CF7D4F" w:rsidP="00CF7D4F">
      <w:pPr>
        <w:rPr>
          <w:lang w:eastAsia="ja-JP"/>
        </w:rPr>
      </w:pPr>
      <w:r w:rsidRPr="004C0B98">
        <w:rPr>
          <w:lang w:eastAsia="ja-JP"/>
        </w:rPr>
        <w:t>Resistance to primary prevention of violence against women initiatives and program</w:t>
      </w:r>
      <w:r>
        <w:rPr>
          <w:lang w:eastAsia="ja-JP"/>
        </w:rPr>
        <w:t>s</w:t>
      </w:r>
      <w:r w:rsidRPr="004C0B98">
        <w:rPr>
          <w:lang w:eastAsia="ja-JP"/>
        </w:rPr>
        <w:t xml:space="preserve"> can come from </w:t>
      </w:r>
      <w:r>
        <w:rPr>
          <w:lang w:eastAsia="ja-JP"/>
        </w:rPr>
        <w:t>a range of communities and</w:t>
      </w:r>
      <w:r w:rsidRPr="004C0B98">
        <w:rPr>
          <w:lang w:eastAsia="ja-JP"/>
        </w:rPr>
        <w:t xml:space="preserve"> individuals</w:t>
      </w:r>
      <w:r>
        <w:rPr>
          <w:lang w:eastAsia="ja-JP"/>
        </w:rPr>
        <w:t>:</w:t>
      </w:r>
      <w:r w:rsidRPr="004C0B98">
        <w:rPr>
          <w:lang w:eastAsia="ja-JP"/>
        </w:rPr>
        <w:t xml:space="preserve"> </w:t>
      </w:r>
      <w:r>
        <w:rPr>
          <w:lang w:eastAsia="ja-JP"/>
        </w:rPr>
        <w:t xml:space="preserve">from </w:t>
      </w:r>
      <w:r w:rsidRPr="004C0B98">
        <w:rPr>
          <w:lang w:eastAsia="ja-JP"/>
        </w:rPr>
        <w:t>those who may be unaware of how gender drives violence against women</w:t>
      </w:r>
      <w:r>
        <w:rPr>
          <w:lang w:eastAsia="ja-JP"/>
        </w:rPr>
        <w:t>, through</w:t>
      </w:r>
      <w:r w:rsidRPr="004C0B98">
        <w:rPr>
          <w:lang w:eastAsia="ja-JP"/>
        </w:rPr>
        <w:t xml:space="preserve"> to people who actively and aggressively oppose gendered approaches to prevention of violence. Thinking about the different levels of where someone may resist is important: in their homes, among friends, in the workplace, in sporting teams or community events, online and so on. Identifying key gatekeepers who have formal and informal spheres of influence can </w:t>
      </w:r>
      <w:r>
        <w:rPr>
          <w:lang w:eastAsia="ja-JP"/>
        </w:rPr>
        <w:t xml:space="preserve">also </w:t>
      </w:r>
      <w:r w:rsidRPr="004C0B98">
        <w:rPr>
          <w:lang w:eastAsia="ja-JP"/>
        </w:rPr>
        <w:t xml:space="preserve">assist in </w:t>
      </w:r>
      <w:r>
        <w:rPr>
          <w:lang w:eastAsia="ja-JP"/>
        </w:rPr>
        <w:t>designing effective approaches</w:t>
      </w:r>
      <w:r w:rsidRPr="004C0B98">
        <w:rPr>
          <w:lang w:eastAsia="ja-JP"/>
        </w:rPr>
        <w:t xml:space="preserve">. </w:t>
      </w:r>
    </w:p>
    <w:p w14:paraId="2BB28FF7" w14:textId="77777777" w:rsidR="00DB5CC2" w:rsidRDefault="00DB5CC2" w:rsidP="00CF7D4F">
      <w:pPr>
        <w:rPr>
          <w:lang w:eastAsia="ja-JP"/>
        </w:rPr>
      </w:pPr>
    </w:p>
    <w:p w14:paraId="29DDC5AD" w14:textId="31051991" w:rsidR="00CF7D4F" w:rsidRDefault="00CF7D4F" w:rsidP="00CF7D4F">
      <w:pPr>
        <w:rPr>
          <w:lang w:eastAsia="ja-JP"/>
        </w:rPr>
      </w:pPr>
      <w:r w:rsidRPr="004C0B98">
        <w:rPr>
          <w:lang w:eastAsia="ja-JP"/>
        </w:rPr>
        <w:t xml:space="preserve">There are </w:t>
      </w:r>
      <w:proofErr w:type="gramStart"/>
      <w:r w:rsidRPr="004C0B98">
        <w:rPr>
          <w:lang w:eastAsia="ja-JP"/>
        </w:rPr>
        <w:t>a number of</w:t>
      </w:r>
      <w:proofErr w:type="gramEnd"/>
      <w:r w:rsidRPr="004C0B98">
        <w:rPr>
          <w:lang w:eastAsia="ja-JP"/>
        </w:rPr>
        <w:t xml:space="preserve"> settings </w:t>
      </w:r>
      <w:r>
        <w:rPr>
          <w:lang w:eastAsia="ja-JP"/>
        </w:rPr>
        <w:t>in which</w:t>
      </w:r>
      <w:r w:rsidRPr="004C0B98">
        <w:rPr>
          <w:lang w:eastAsia="ja-JP"/>
        </w:rPr>
        <w:t xml:space="preserve"> primary prevention initiatives are currently being implemented and we can think about who</w:t>
      </w:r>
      <w:r w:rsidRPr="004C0B98">
        <w:rPr>
          <w:i/>
          <w:iCs/>
          <w:lang w:eastAsia="ja-JP"/>
        </w:rPr>
        <w:t xml:space="preserve"> </w:t>
      </w:r>
      <w:r>
        <w:rPr>
          <w:lang w:eastAsia="ja-JP"/>
        </w:rPr>
        <w:t>the</w:t>
      </w:r>
      <w:r w:rsidRPr="004C0B98">
        <w:rPr>
          <w:lang w:eastAsia="ja-JP"/>
        </w:rPr>
        <w:t xml:space="preserve"> key decision-makers </w:t>
      </w:r>
      <w:r>
        <w:rPr>
          <w:lang w:eastAsia="ja-JP"/>
        </w:rPr>
        <w:t xml:space="preserve">are </w:t>
      </w:r>
      <w:r w:rsidRPr="004C0B98">
        <w:rPr>
          <w:lang w:eastAsia="ja-JP"/>
        </w:rPr>
        <w:t>and the targeted audience to be able to understand who might resist and why</w:t>
      </w:r>
      <w:r>
        <w:rPr>
          <w:lang w:eastAsia="ja-JP"/>
        </w:rPr>
        <w:t>.</w:t>
      </w:r>
      <w:r w:rsidRPr="004C0B98">
        <w:rPr>
          <w:lang w:eastAsia="ja-JP"/>
        </w:rPr>
        <w:t xml:space="preserve"> </w:t>
      </w:r>
      <w:r>
        <w:rPr>
          <w:lang w:eastAsia="ja-JP"/>
        </w:rPr>
        <w:t xml:space="preserve">This includes individuals who make up institutions and organisations as well as external stakeholders who may resist and influence the success of primary prevention efforts. </w:t>
      </w:r>
    </w:p>
    <w:p w14:paraId="3BF550A5" w14:textId="77777777" w:rsidR="00CF7D4F" w:rsidRDefault="00CF7D4F" w:rsidP="00CF7D4F">
      <w:pPr>
        <w:rPr>
          <w:lang w:eastAsia="ja-JP"/>
        </w:rPr>
      </w:pPr>
    </w:p>
    <w:p w14:paraId="4D2398C4" w14:textId="244A3692" w:rsidR="00CF7D4F" w:rsidRDefault="00CF7D4F" w:rsidP="00CF7D4F">
      <w:pPr>
        <w:rPr>
          <w:lang w:eastAsia="ja-JP"/>
        </w:rPr>
      </w:pPr>
      <w:r w:rsidRPr="004C0B98">
        <w:rPr>
          <w:lang w:eastAsia="ja-JP"/>
        </w:rPr>
        <w:t>Th</w:t>
      </w:r>
      <w:r>
        <w:rPr>
          <w:lang w:eastAsia="ja-JP"/>
        </w:rPr>
        <w:t xml:space="preserve">e below </w:t>
      </w:r>
      <w:r w:rsidRPr="004C0B98">
        <w:rPr>
          <w:lang w:eastAsia="ja-JP"/>
        </w:rPr>
        <w:t xml:space="preserve">list is not exhaustive nor do </w:t>
      </w:r>
      <w:proofErr w:type="gramStart"/>
      <w:r w:rsidRPr="004C0B98">
        <w:rPr>
          <w:lang w:eastAsia="ja-JP"/>
        </w:rPr>
        <w:t>all of</w:t>
      </w:r>
      <w:proofErr w:type="gramEnd"/>
      <w:r w:rsidRPr="004C0B98">
        <w:rPr>
          <w:lang w:eastAsia="ja-JP"/>
        </w:rPr>
        <w:t xml:space="preserve"> these individuals and communities resist in practice, many </w:t>
      </w:r>
      <w:r>
        <w:rPr>
          <w:lang w:eastAsia="ja-JP"/>
        </w:rPr>
        <w:t xml:space="preserve">can be and </w:t>
      </w:r>
      <w:r w:rsidRPr="004C0B98">
        <w:rPr>
          <w:lang w:eastAsia="ja-JP"/>
        </w:rPr>
        <w:t xml:space="preserve">are supporters of primary prevention. However, it can help to think about </w:t>
      </w:r>
      <w:r>
        <w:rPr>
          <w:lang w:eastAsia="ja-JP"/>
        </w:rPr>
        <w:t xml:space="preserve">who may resist considering the </w:t>
      </w:r>
      <w:r w:rsidRPr="004C0B98">
        <w:rPr>
          <w:lang w:eastAsia="ja-JP"/>
        </w:rPr>
        <w:t xml:space="preserve">range of individuals and communities that can control the adoption, implementation and framing of primary prevention of violence against women. </w:t>
      </w:r>
    </w:p>
    <w:p w14:paraId="4E1C52A9" w14:textId="2F9BEC25" w:rsidR="00DB5CC2" w:rsidRDefault="00DB5CC2" w:rsidP="00CF7D4F">
      <w:pPr>
        <w:rPr>
          <w:lang w:eastAsia="ja-JP"/>
        </w:rPr>
      </w:pPr>
    </w:p>
    <w:p w14:paraId="24E61C2A" w14:textId="77777777" w:rsidR="00DB5CC2" w:rsidRPr="00C7793C" w:rsidRDefault="00DB5CC2" w:rsidP="00DB5CC2">
      <w:pPr>
        <w:rPr>
          <w:b/>
          <w:bCs/>
          <w:lang w:eastAsia="ja-JP"/>
        </w:rPr>
      </w:pPr>
      <w:r>
        <w:rPr>
          <w:b/>
          <w:bCs/>
          <w:lang w:eastAsia="ja-JP"/>
        </w:rPr>
        <w:t xml:space="preserve">People and groups who may resist the </w:t>
      </w:r>
      <w:r>
        <w:rPr>
          <w:b/>
          <w:bCs/>
          <w:lang w:eastAsia="ja-JP"/>
        </w:rPr>
        <w:t>following lines of prevention activities include:</w:t>
      </w:r>
    </w:p>
    <w:p w14:paraId="2AD34EA0" w14:textId="169AEC74" w:rsidR="00DB5CC2" w:rsidRPr="004C0B98" w:rsidRDefault="00DB5CC2" w:rsidP="00B01F9C">
      <w:pPr>
        <w:pStyle w:val="ListParagraph"/>
        <w:widowControl/>
        <w:numPr>
          <w:ilvl w:val="0"/>
          <w:numId w:val="13"/>
        </w:numPr>
        <w:autoSpaceDE/>
        <w:autoSpaceDN/>
        <w:spacing w:before="0" w:after="120"/>
        <w:ind w:left="425" w:hanging="357"/>
      </w:pPr>
      <w:r w:rsidRPr="004C0B98">
        <w:rPr>
          <w:i/>
          <w:iCs/>
        </w:rPr>
        <w:t xml:space="preserve">Primary prevention advocacy and activism </w:t>
      </w:r>
      <w:r w:rsidRPr="004C0B98">
        <w:t xml:space="preserve">– individual </w:t>
      </w:r>
      <w:r w:rsidR="00B06AA7">
        <w:t>Members of Parliament</w:t>
      </w:r>
      <w:r w:rsidRPr="004C0B98">
        <w:t xml:space="preserve">, political parties, </w:t>
      </w:r>
      <w:r w:rsidR="00EB4008">
        <w:t>public servants</w:t>
      </w:r>
      <w:r w:rsidRPr="004C0B98">
        <w:t>, policymakers, community leaders</w:t>
      </w:r>
      <w:r w:rsidR="009525BF">
        <w:t xml:space="preserve"> and groups</w:t>
      </w:r>
      <w:r w:rsidRPr="004C0B98">
        <w:t xml:space="preserve">, religious/faith leaders and groups, businesses and the private sector, media networks, academics, think tanks and influential individuals. </w:t>
      </w:r>
    </w:p>
    <w:p w14:paraId="077C2207" w14:textId="77777777" w:rsidR="00DB5CC2" w:rsidRPr="004C0B98" w:rsidRDefault="00DB5CC2" w:rsidP="00B01F9C">
      <w:pPr>
        <w:pStyle w:val="ListParagraph"/>
        <w:widowControl/>
        <w:numPr>
          <w:ilvl w:val="0"/>
          <w:numId w:val="13"/>
        </w:numPr>
        <w:autoSpaceDE/>
        <w:autoSpaceDN/>
        <w:spacing w:before="0" w:after="120"/>
        <w:ind w:left="425" w:hanging="357"/>
        <w:rPr>
          <w:lang w:eastAsia="ja-JP"/>
        </w:rPr>
      </w:pPr>
      <w:r w:rsidRPr="004C0B98">
        <w:rPr>
          <w:i/>
          <w:iCs/>
          <w:lang w:eastAsia="ja-JP"/>
        </w:rPr>
        <w:t>Respectful relationships education</w:t>
      </w:r>
      <w:r w:rsidRPr="004C0B98">
        <w:rPr>
          <w:lang w:eastAsia="ja-JP"/>
        </w:rPr>
        <w:t xml:space="preserve"> – parents, school principals, teachers, students, education policymakers and education curriculum.</w:t>
      </w:r>
    </w:p>
    <w:p w14:paraId="4032081C" w14:textId="730041B2" w:rsidR="00DB5CC2" w:rsidRPr="004C0B98" w:rsidRDefault="00DB5CC2" w:rsidP="00B01F9C">
      <w:pPr>
        <w:pStyle w:val="ListParagraph"/>
        <w:widowControl/>
        <w:numPr>
          <w:ilvl w:val="0"/>
          <w:numId w:val="13"/>
        </w:numPr>
        <w:autoSpaceDE/>
        <w:autoSpaceDN/>
        <w:spacing w:before="0" w:after="120"/>
        <w:ind w:left="425" w:hanging="357"/>
      </w:pPr>
      <w:r w:rsidRPr="004C0B98">
        <w:rPr>
          <w:i/>
          <w:iCs/>
        </w:rPr>
        <w:t xml:space="preserve">Workplace </w:t>
      </w:r>
      <w:r>
        <w:rPr>
          <w:i/>
          <w:iCs/>
        </w:rPr>
        <w:t xml:space="preserve">prevention or gender </w:t>
      </w:r>
      <w:r w:rsidRPr="004C0B98">
        <w:rPr>
          <w:i/>
          <w:iCs/>
        </w:rPr>
        <w:t xml:space="preserve">equality </w:t>
      </w:r>
      <w:r>
        <w:rPr>
          <w:i/>
          <w:iCs/>
        </w:rPr>
        <w:t>approaches</w:t>
      </w:r>
      <w:r w:rsidRPr="004C0B98">
        <w:t xml:space="preserve"> – </w:t>
      </w:r>
      <w:r w:rsidR="00F04F62">
        <w:t>o</w:t>
      </w:r>
      <w:r w:rsidRPr="004C0B98">
        <w:t>rganisational leaders such as CEOs and Board members, human resource staff who gatekeep certain policies or entitlements, managers, informal workplace leaders and culture, individual staff members.</w:t>
      </w:r>
    </w:p>
    <w:p w14:paraId="5A6E0265" w14:textId="0C336132" w:rsidR="00DB5CC2" w:rsidRPr="004C0B98" w:rsidRDefault="00DB5CC2" w:rsidP="00B01F9C">
      <w:pPr>
        <w:pStyle w:val="ListParagraph"/>
        <w:widowControl/>
        <w:numPr>
          <w:ilvl w:val="0"/>
          <w:numId w:val="13"/>
        </w:numPr>
        <w:autoSpaceDE/>
        <w:autoSpaceDN/>
        <w:spacing w:before="0" w:after="120"/>
        <w:ind w:left="425" w:hanging="357"/>
      </w:pPr>
      <w:r w:rsidRPr="004C0B98">
        <w:rPr>
          <w:i/>
          <w:iCs/>
        </w:rPr>
        <w:t>Primary prevention media campaigns</w:t>
      </w:r>
      <w:r w:rsidRPr="004C0B98">
        <w:t xml:space="preserve"> – </w:t>
      </w:r>
      <w:r>
        <w:t xml:space="preserve">community </w:t>
      </w:r>
      <w:r w:rsidRPr="004C0B98">
        <w:t xml:space="preserve">members, men’s rights activists, </w:t>
      </w:r>
      <w:r w:rsidR="0078406E">
        <w:t xml:space="preserve">online </w:t>
      </w:r>
      <w:r w:rsidRPr="004C0B98">
        <w:t>trolls, traditional and social media outlets.</w:t>
      </w:r>
    </w:p>
    <w:p w14:paraId="495ECFEE" w14:textId="000DE2C2" w:rsidR="00DB5CC2" w:rsidRPr="004C0B98" w:rsidRDefault="00DB5CC2" w:rsidP="00B01F9C">
      <w:pPr>
        <w:pStyle w:val="ListParagraph"/>
        <w:widowControl/>
        <w:numPr>
          <w:ilvl w:val="0"/>
          <w:numId w:val="13"/>
        </w:numPr>
        <w:autoSpaceDE/>
        <w:autoSpaceDN/>
        <w:spacing w:before="0" w:after="120"/>
        <w:ind w:left="425" w:hanging="357"/>
      </w:pPr>
      <w:r w:rsidRPr="004C0B98">
        <w:rPr>
          <w:i/>
          <w:iCs/>
        </w:rPr>
        <w:t xml:space="preserve">Universities, </w:t>
      </w:r>
      <w:proofErr w:type="gramStart"/>
      <w:r w:rsidRPr="004C0B98">
        <w:rPr>
          <w:i/>
          <w:iCs/>
        </w:rPr>
        <w:t>TAFEs</w:t>
      </w:r>
      <w:proofErr w:type="gramEnd"/>
      <w:r w:rsidRPr="004C0B98">
        <w:rPr>
          <w:i/>
          <w:iCs/>
        </w:rPr>
        <w:t xml:space="preserve"> and tertiary education settings</w:t>
      </w:r>
      <w:r w:rsidRPr="004C0B98">
        <w:t>—</w:t>
      </w:r>
      <w:r w:rsidR="002F1BD7">
        <w:t xml:space="preserve"> </w:t>
      </w:r>
      <w:r w:rsidR="00F04F62">
        <w:t>l</w:t>
      </w:r>
      <w:r w:rsidRPr="004C0B98">
        <w:t xml:space="preserve">eaders such as Chancellors or </w:t>
      </w:r>
      <w:r>
        <w:t xml:space="preserve">Faculty </w:t>
      </w:r>
      <w:r w:rsidRPr="004C0B98">
        <w:t>Deans, research funding bodies, department heads, staff, students</w:t>
      </w:r>
      <w:r>
        <w:t xml:space="preserve"> and curriculum</w:t>
      </w:r>
      <w:r w:rsidRPr="004C0B98">
        <w:t>.</w:t>
      </w:r>
    </w:p>
    <w:p w14:paraId="555BC53C" w14:textId="359A6B29" w:rsidR="00DB5CC2" w:rsidRPr="004C0B98" w:rsidRDefault="00DB5CC2" w:rsidP="00B01F9C">
      <w:pPr>
        <w:pStyle w:val="ListParagraph"/>
        <w:widowControl/>
        <w:numPr>
          <w:ilvl w:val="0"/>
          <w:numId w:val="13"/>
        </w:numPr>
        <w:autoSpaceDE/>
        <w:autoSpaceDN/>
        <w:spacing w:before="0" w:after="120"/>
        <w:ind w:left="425" w:hanging="357"/>
      </w:pPr>
      <w:r w:rsidRPr="004C0B98">
        <w:rPr>
          <w:i/>
          <w:iCs/>
        </w:rPr>
        <w:t>National media engagement—</w:t>
      </w:r>
      <w:r w:rsidR="002F1BD7">
        <w:rPr>
          <w:i/>
          <w:iCs/>
        </w:rPr>
        <w:t xml:space="preserve"> </w:t>
      </w:r>
      <w:r w:rsidRPr="004C0B98">
        <w:t>media outlets, editors, journalists, readers.</w:t>
      </w:r>
    </w:p>
    <w:p w14:paraId="3CAA7E97" w14:textId="77777777" w:rsidR="00DB5CC2" w:rsidRPr="004C0B98" w:rsidRDefault="00DB5CC2" w:rsidP="00B01F9C">
      <w:pPr>
        <w:pStyle w:val="ListParagraph"/>
        <w:widowControl/>
        <w:numPr>
          <w:ilvl w:val="0"/>
          <w:numId w:val="13"/>
        </w:numPr>
        <w:autoSpaceDE/>
        <w:autoSpaceDN/>
        <w:spacing w:before="0" w:after="120"/>
        <w:ind w:left="425" w:hanging="357"/>
      </w:pPr>
      <w:r w:rsidRPr="004C0B98">
        <w:rPr>
          <w:i/>
          <w:iCs/>
        </w:rPr>
        <w:t>Sport</w:t>
      </w:r>
      <w:r w:rsidRPr="004C0B98">
        <w:t xml:space="preserve"> </w:t>
      </w:r>
      <w:r w:rsidRPr="004C0B98">
        <w:rPr>
          <w:i/>
          <w:iCs/>
        </w:rPr>
        <w:t>and recreation</w:t>
      </w:r>
      <w:r w:rsidRPr="004C0B98">
        <w:t>— fans, sports players, coaches, sponsors, media networks.</w:t>
      </w:r>
    </w:p>
    <w:p w14:paraId="0BBF1D9D" w14:textId="3DDFBF2A" w:rsidR="00DB5CC2" w:rsidRDefault="00DB5CC2" w:rsidP="00CF7D4F">
      <w:pPr>
        <w:rPr>
          <w:lang w:eastAsia="ja-JP"/>
        </w:rPr>
      </w:pPr>
    </w:p>
    <w:p w14:paraId="21B12344" w14:textId="77777777" w:rsidR="00DB5CC2" w:rsidRDefault="00DB5CC2" w:rsidP="00DB5CC2">
      <w:r>
        <w:t xml:space="preserve">Anyone who advocates for a feminist inspired gendered approach to preventing violence against women can and often does experience a range of forms of resistance. This includes resistance to work undertaken by (for example) feminist and </w:t>
      </w:r>
      <w:r>
        <w:lastRenderedPageBreak/>
        <w:t xml:space="preserve">prevention of violence against women organisations, activists, practitioners, policymakers, academics and researchers, authors, </w:t>
      </w:r>
      <w:proofErr w:type="gramStart"/>
      <w:r>
        <w:t>journalists</w:t>
      </w:r>
      <w:proofErr w:type="gramEnd"/>
      <w:r>
        <w:t xml:space="preserve"> and male allies. </w:t>
      </w:r>
    </w:p>
    <w:p w14:paraId="33EAFA0F" w14:textId="77777777" w:rsidR="00DB5CC2" w:rsidRDefault="00DB5CC2" w:rsidP="00DB5CC2"/>
    <w:p w14:paraId="16CF7D24" w14:textId="23A2B448" w:rsidR="00DB5CC2" w:rsidRDefault="00DB5CC2" w:rsidP="00DB5CC2">
      <w:r>
        <w:t xml:space="preserve">Resistance can be amplified, sometimes dangerously so, when feminism and anti-sexism work intersects with the work of other movements, such as those seeking justice for Aboriginal and Torres Strait Islander </w:t>
      </w:r>
      <w:proofErr w:type="gramStart"/>
      <w:r>
        <w:t>people, or</w:t>
      </w:r>
      <w:proofErr w:type="gramEnd"/>
      <w:r>
        <w:t xml:space="preserve"> pursuing anti-racism or anti-homophobia agendas for example. Those working at the intersection of such work may be more likely to encounter severe, </w:t>
      </w:r>
      <w:proofErr w:type="gramStart"/>
      <w:r>
        <w:t>aggressive</w:t>
      </w:r>
      <w:proofErr w:type="gramEnd"/>
      <w:r>
        <w:t xml:space="preserve"> or violent forms of backlash, or to encounter resistance and backlash more frequently. This occurs in a range of settings in people’s public and private lives.</w:t>
      </w:r>
    </w:p>
    <w:p w14:paraId="4BB591C3" w14:textId="0FA5C813" w:rsidR="00DB5CC2" w:rsidRDefault="00DB5CC2" w:rsidP="00CF7D4F">
      <w:pPr>
        <w:rPr>
          <w:lang w:eastAsia="ja-JP"/>
        </w:rPr>
      </w:pPr>
    </w:p>
    <w:p w14:paraId="29F0F466" w14:textId="47BC3967" w:rsidR="00DB5CC2" w:rsidRPr="00DB5CC2" w:rsidRDefault="00DB5CC2" w:rsidP="00DB5CC2">
      <w:pPr>
        <w:rPr>
          <w:lang w:eastAsia="ja-JP"/>
        </w:rPr>
      </w:pPr>
      <w:r w:rsidRPr="00DB5CC2">
        <w:rPr>
          <w:lang w:eastAsia="ja-JP"/>
        </w:rPr>
        <w:t xml:space="preserve">Resistant behaviours can </w:t>
      </w:r>
      <w:r w:rsidR="00EB4008">
        <w:rPr>
          <w:lang w:eastAsia="ja-JP"/>
        </w:rPr>
        <w:t xml:space="preserve">include </w:t>
      </w:r>
      <w:r w:rsidRPr="00DB5CC2">
        <w:rPr>
          <w:lang w:eastAsia="ja-JP"/>
        </w:rPr>
        <w:t xml:space="preserve">uninterested body language or an eye roll in a training. It can manifest in certain types of talking points and discourses as well as how issues are framed, such as media reporting on violence against women or how local, </w:t>
      </w:r>
      <w:proofErr w:type="gramStart"/>
      <w:r w:rsidRPr="00DB5CC2">
        <w:rPr>
          <w:lang w:eastAsia="ja-JP"/>
        </w:rPr>
        <w:t>state</w:t>
      </w:r>
      <w:proofErr w:type="gramEnd"/>
      <w:r w:rsidRPr="00DB5CC2">
        <w:rPr>
          <w:lang w:eastAsia="ja-JP"/>
        </w:rPr>
        <w:t xml:space="preserve"> and federal governments and leaders discuss violence against women. It can also consist of extreme manifestations such as individual and collectively coordinated threats of and perpetration of gendered violence, including on online forums and on social media. </w:t>
      </w:r>
    </w:p>
    <w:p w14:paraId="1BDCC33A" w14:textId="77777777" w:rsidR="00DB5CC2" w:rsidRPr="00DB5CC2" w:rsidRDefault="00DB5CC2" w:rsidP="00DB5CC2">
      <w:pPr>
        <w:rPr>
          <w:lang w:eastAsia="ja-JP"/>
        </w:rPr>
      </w:pPr>
    </w:p>
    <w:p w14:paraId="7F3A3732" w14:textId="77777777" w:rsidR="00DB5CC2" w:rsidRPr="00DB5CC2" w:rsidRDefault="00DB5CC2" w:rsidP="00DB5CC2">
      <w:pPr>
        <w:rPr>
          <w:lang w:eastAsia="ja-JP"/>
        </w:rPr>
      </w:pPr>
      <w:r w:rsidRPr="00DB5CC2">
        <w:rPr>
          <w:lang w:eastAsia="ja-JP"/>
        </w:rPr>
        <w:t xml:space="preserve">As discussed in Part 3 of this report, resistance to gendered approaches to preventing violence can take many different forms and consists of multiple and sometimes simultaneous types of actions. It is a personal and multilayered phenomenon that is underpinned by gender norms, practices and structures that drive violence against women. To grasp this complexity, further nuance is necessary to capture the breadth of the different forms that resistance can take. Part 3 unpacks these forms further. </w:t>
      </w:r>
    </w:p>
    <w:p w14:paraId="562F2CEF" w14:textId="77777777" w:rsidR="005B0690" w:rsidRDefault="005B0690" w:rsidP="00CF7D4F">
      <w:pPr>
        <w:rPr>
          <w:lang w:eastAsia="ja-JP"/>
        </w:rPr>
        <w:sectPr w:rsidR="005B0690" w:rsidSect="005B0690">
          <w:pgSz w:w="11900" w:h="16850"/>
          <w:pgMar w:top="1340" w:right="1060" w:bottom="1020" w:left="860" w:header="567" w:footer="824" w:gutter="0"/>
          <w:cols w:num="2" w:space="720"/>
          <w:docGrid w:linePitch="299"/>
        </w:sectPr>
      </w:pPr>
    </w:p>
    <w:p w14:paraId="3F96AD99" w14:textId="3ADC6036" w:rsidR="008F4F2F" w:rsidRDefault="003C4492" w:rsidP="008E06F4">
      <w:pPr>
        <w:pStyle w:val="Mainbody-Headings"/>
      </w:pPr>
      <w:bookmarkStart w:id="49" w:name="_Toc85620724"/>
      <w:bookmarkStart w:id="50" w:name="_Toc87526311"/>
      <w:r>
        <w:lastRenderedPageBreak/>
        <w:t>Part 3</w:t>
      </w:r>
      <w:r w:rsidR="00CC17BE">
        <w:t xml:space="preserve"> - </w:t>
      </w:r>
      <w:r>
        <w:t>Forms of resistance and backlash</w:t>
      </w:r>
      <w:bookmarkEnd w:id="49"/>
      <w:bookmarkEnd w:id="50"/>
    </w:p>
    <w:p w14:paraId="24CC649A" w14:textId="77777777" w:rsidR="005B0690" w:rsidRDefault="005B0690" w:rsidP="003C4492">
      <w:pPr>
        <w:contextualSpacing/>
        <w:sectPr w:rsidR="005B0690" w:rsidSect="005B0690">
          <w:pgSz w:w="11900" w:h="16850"/>
          <w:pgMar w:top="1340" w:right="1060" w:bottom="1020" w:left="860" w:header="567" w:footer="824" w:gutter="0"/>
          <w:cols w:space="720"/>
          <w:docGrid w:linePitch="299"/>
        </w:sectPr>
      </w:pPr>
    </w:p>
    <w:p w14:paraId="52CAFC30" w14:textId="07FA34E8" w:rsidR="003C4492" w:rsidRDefault="003C4492" w:rsidP="003C4492">
      <w:pPr>
        <w:contextualSpacing/>
      </w:pPr>
      <w:r>
        <w:t xml:space="preserve">Resistance and backlash to primary prevention approaches to preventing violence against women takes many different forms that can be difficult to see in some cases, and obvious in others. To understand the many ways in which resistance and backlash </w:t>
      </w:r>
      <w:r w:rsidRPr="00437FB5">
        <w:t xml:space="preserve">to the prevention of violence against women </w:t>
      </w:r>
      <w:r>
        <w:t xml:space="preserve">manifest, </w:t>
      </w:r>
      <w:r w:rsidRPr="00437FB5">
        <w:t xml:space="preserve">Flood, </w:t>
      </w:r>
      <w:proofErr w:type="spellStart"/>
      <w:r w:rsidRPr="00437FB5">
        <w:t>Dragiewicz</w:t>
      </w:r>
      <w:proofErr w:type="spellEnd"/>
      <w:r w:rsidRPr="00437FB5">
        <w:t xml:space="preserve"> and Pease (2018, 2020)</w:t>
      </w:r>
      <w:r>
        <w:t xml:space="preserve"> offer</w:t>
      </w:r>
      <w:r w:rsidRPr="00437FB5">
        <w:t xml:space="preserve"> an 8-part typology (Figure 2)</w:t>
      </w:r>
      <w:r>
        <w:t xml:space="preserve"> comprised of</w:t>
      </w:r>
      <w:r w:rsidRPr="00437FB5">
        <w:t xml:space="preserve">: denial, disavowal, inaction, appeasement, appropriation, co-option, </w:t>
      </w:r>
      <w:proofErr w:type="gramStart"/>
      <w:r w:rsidRPr="00437FB5">
        <w:t>repression</w:t>
      </w:r>
      <w:proofErr w:type="gramEnd"/>
      <w:r w:rsidRPr="00437FB5">
        <w:t xml:space="preserve"> and backlash.</w:t>
      </w:r>
      <w:r w:rsidRPr="00437FB5">
        <w:rPr>
          <w:rStyle w:val="FootnoteReference"/>
        </w:rPr>
        <w:footnoteReference w:id="6"/>
      </w:r>
      <w:r w:rsidRPr="00437FB5">
        <w:t xml:space="preserve"> </w:t>
      </w:r>
    </w:p>
    <w:p w14:paraId="5039963A" w14:textId="77777777" w:rsidR="003C4492" w:rsidRDefault="003C4492" w:rsidP="003C4492">
      <w:pPr>
        <w:contextualSpacing/>
      </w:pPr>
    </w:p>
    <w:p w14:paraId="7B798B9E" w14:textId="76070F5E" w:rsidR="005B0690" w:rsidRDefault="003C4492" w:rsidP="003C4492">
      <w:pPr>
        <w:contextualSpacing/>
      </w:pPr>
      <w:r w:rsidRPr="00437FB5">
        <w:t xml:space="preserve">These different forms range from refusing to acknowledge the problem of gender inequality </w:t>
      </w:r>
      <w:r>
        <w:t xml:space="preserve">through </w:t>
      </w:r>
      <w:r w:rsidRPr="00437FB5">
        <w:t xml:space="preserve">to </w:t>
      </w:r>
      <w:r>
        <w:t>the most</w:t>
      </w:r>
      <w:r w:rsidRPr="00437FB5">
        <w:t xml:space="preserve"> hostile </w:t>
      </w:r>
      <w:r>
        <w:t xml:space="preserve">forms </w:t>
      </w:r>
      <w:r>
        <w:t>of</w:t>
      </w:r>
      <w:r w:rsidRPr="00437FB5">
        <w:t xml:space="preserve"> anti-feminist backlash, including actual and/or threat of physical and sexual violence.</w:t>
      </w:r>
      <w:r>
        <w:t xml:space="preserve"> To achieve violence prevention goals, it is important to address all these forms as t</w:t>
      </w:r>
      <w:r w:rsidRPr="00437FB5">
        <w:t xml:space="preserve">hey are overlapping, not neatly separated. </w:t>
      </w:r>
    </w:p>
    <w:p w14:paraId="4DB3105D" w14:textId="77777777" w:rsidR="005B0690" w:rsidRDefault="005B0690" w:rsidP="003C4492">
      <w:pPr>
        <w:contextualSpacing/>
      </w:pPr>
    </w:p>
    <w:p w14:paraId="2E39A14B" w14:textId="00EE36A5" w:rsidR="005B0690" w:rsidRDefault="003C4492" w:rsidP="003C4492">
      <w:pPr>
        <w:contextualSpacing/>
        <w:sectPr w:rsidR="005B0690" w:rsidSect="005B0690">
          <w:type w:val="continuous"/>
          <w:pgSz w:w="11900" w:h="16850"/>
          <w:pgMar w:top="1340" w:right="1060" w:bottom="1020" w:left="860" w:header="567" w:footer="824" w:gutter="0"/>
          <w:cols w:num="2" w:space="720"/>
          <w:docGrid w:linePitch="299"/>
        </w:sectPr>
      </w:pPr>
      <w:r w:rsidRPr="00437FB5">
        <w:t xml:space="preserve">The explanations and examples given below often have elements of more than one of the different forms of resistance and backlash. Nevertheless, the typology developed by Flood et al., (2018) provides a useful conceptual tool to analyse and better understand active and passive forms of resistance, with the potential to inform more effective responses to it. </w:t>
      </w:r>
    </w:p>
    <w:p w14:paraId="0BA9074D" w14:textId="3FB650F8" w:rsidR="003C4492" w:rsidRDefault="003C4492" w:rsidP="003C4492">
      <w:pPr>
        <w:contextualSpacing/>
      </w:pPr>
      <w:r w:rsidRPr="00437FB5">
        <w:rPr>
          <w:noProof/>
          <w:color w:val="2B579A"/>
          <w:shd w:val="clear" w:color="auto" w:fill="E6E6E6"/>
        </w:rPr>
        <w:drawing>
          <wp:inline distT="0" distB="0" distL="0" distR="0" wp14:anchorId="34D64CBB" wp14:editId="28F219A7">
            <wp:extent cx="6337300" cy="3098582"/>
            <wp:effectExtent l="0" t="0" r="6350" b="6985"/>
            <wp:docPr id="9" name="Picture 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22" cstate="print">
                      <a:extLst>
                        <a:ext uri="{28A0092B-C50C-407E-A947-70E740481C1C}">
                          <a14:useLocalDpi xmlns:a14="http://schemas.microsoft.com/office/drawing/2010/main" val="0"/>
                        </a:ext>
                      </a:extLst>
                    </a:blip>
                    <a:srcRect t="9051" b="50965"/>
                    <a:stretch/>
                  </pic:blipFill>
                  <pic:spPr bwMode="auto">
                    <a:xfrm>
                      <a:off x="0" y="0"/>
                      <a:ext cx="6337300" cy="3098582"/>
                    </a:xfrm>
                    <a:prstGeom prst="rect">
                      <a:avLst/>
                    </a:prstGeom>
                    <a:ln>
                      <a:noFill/>
                    </a:ln>
                    <a:extLst>
                      <a:ext uri="{53640926-AAD7-44D8-BBD7-CCE9431645EC}">
                        <a14:shadowObscured xmlns:a14="http://schemas.microsoft.com/office/drawing/2010/main"/>
                      </a:ext>
                    </a:extLst>
                  </pic:spPr>
                </pic:pic>
              </a:graphicData>
            </a:graphic>
          </wp:inline>
        </w:drawing>
      </w:r>
    </w:p>
    <w:p w14:paraId="1F5DD168" w14:textId="30D6F603" w:rsidR="003C4492" w:rsidRPr="003C4492" w:rsidRDefault="003C4492" w:rsidP="003C4492">
      <w:pPr>
        <w:pStyle w:val="Caption"/>
        <w:rPr>
          <w:color w:val="F79646" w:themeColor="accent6"/>
          <w:sz w:val="22"/>
          <w:szCs w:val="22"/>
        </w:rPr>
      </w:pPr>
      <w:bookmarkStart w:id="51" w:name="_Toc71781319"/>
      <w:bookmarkStart w:id="52" w:name="_Toc94771645"/>
      <w:r w:rsidRPr="003C4492">
        <w:rPr>
          <w:color w:val="F79646" w:themeColor="accent6"/>
          <w:sz w:val="22"/>
          <w:szCs w:val="22"/>
        </w:rPr>
        <w:t xml:space="preserve">Figure </w:t>
      </w:r>
      <w:r w:rsidRPr="003C4492">
        <w:rPr>
          <w:color w:val="F79646" w:themeColor="accent6"/>
          <w:sz w:val="22"/>
          <w:szCs w:val="22"/>
          <w:shd w:val="clear" w:color="auto" w:fill="E6E6E6"/>
        </w:rPr>
        <w:fldChar w:fldCharType="begin"/>
      </w:r>
      <w:r w:rsidRPr="003C4492">
        <w:rPr>
          <w:color w:val="F79646" w:themeColor="accent6"/>
          <w:sz w:val="22"/>
          <w:szCs w:val="22"/>
        </w:rPr>
        <w:instrText xml:space="preserve"> SEQ Figure \* ARABIC </w:instrText>
      </w:r>
      <w:r w:rsidRPr="003C4492">
        <w:rPr>
          <w:color w:val="F79646" w:themeColor="accent6"/>
          <w:sz w:val="22"/>
          <w:szCs w:val="22"/>
          <w:shd w:val="clear" w:color="auto" w:fill="E6E6E6"/>
        </w:rPr>
        <w:fldChar w:fldCharType="separate"/>
      </w:r>
      <w:r w:rsidR="00D93EBF">
        <w:rPr>
          <w:noProof/>
          <w:color w:val="F79646" w:themeColor="accent6"/>
          <w:sz w:val="22"/>
          <w:szCs w:val="22"/>
        </w:rPr>
        <w:t>2</w:t>
      </w:r>
      <w:r w:rsidRPr="003C4492">
        <w:rPr>
          <w:color w:val="F79646" w:themeColor="accent6"/>
          <w:sz w:val="22"/>
          <w:szCs w:val="22"/>
          <w:shd w:val="clear" w:color="auto" w:fill="E6E6E6"/>
        </w:rPr>
        <w:fldChar w:fldCharType="end"/>
      </w:r>
      <w:r w:rsidRPr="003C4492">
        <w:rPr>
          <w:color w:val="F79646" w:themeColor="accent6"/>
          <w:sz w:val="22"/>
          <w:szCs w:val="22"/>
        </w:rPr>
        <w:t>: Forms of Resistance (Vic Health, 2018)</w:t>
      </w:r>
      <w:bookmarkEnd w:id="51"/>
      <w:bookmarkEnd w:id="52"/>
    </w:p>
    <w:p w14:paraId="171F3C4C" w14:textId="77777777" w:rsidR="005B0690" w:rsidRDefault="005B0690" w:rsidP="003C4492">
      <w:pPr>
        <w:contextualSpacing/>
        <w:sectPr w:rsidR="005B0690" w:rsidSect="005B0690">
          <w:type w:val="continuous"/>
          <w:pgSz w:w="11900" w:h="16850"/>
          <w:pgMar w:top="1340" w:right="1060" w:bottom="1020" w:left="860" w:header="567" w:footer="824" w:gutter="0"/>
          <w:cols w:space="720"/>
          <w:docGrid w:linePitch="299"/>
        </w:sectPr>
      </w:pPr>
    </w:p>
    <w:p w14:paraId="3EEBE2B4" w14:textId="77777777" w:rsidR="00EB4008" w:rsidRDefault="00EB4008">
      <w:pPr>
        <w:rPr>
          <w:b/>
          <w:bCs/>
          <w:color w:val="E57200"/>
          <w:sz w:val="32"/>
          <w:szCs w:val="24"/>
        </w:rPr>
      </w:pPr>
      <w:bookmarkStart w:id="53" w:name="_Toc85620725"/>
      <w:bookmarkStart w:id="54" w:name="_Toc87526312"/>
      <w:r>
        <w:br w:type="page"/>
      </w:r>
    </w:p>
    <w:p w14:paraId="2ECED9A4" w14:textId="3FFE2BAC" w:rsidR="00FF1EC0" w:rsidRPr="001568F2" w:rsidRDefault="003C4492" w:rsidP="00552703">
      <w:pPr>
        <w:pStyle w:val="Heading2"/>
      </w:pPr>
      <w:r>
        <w:lastRenderedPageBreak/>
        <w:t>Denial</w:t>
      </w:r>
      <w:bookmarkEnd w:id="53"/>
      <w:bookmarkEnd w:id="54"/>
    </w:p>
    <w:p w14:paraId="7CD7F2AF" w14:textId="0207E9D5" w:rsidR="003C4492" w:rsidRPr="00437FB5" w:rsidRDefault="003C4492" w:rsidP="003C4492">
      <w:r w:rsidRPr="00437FB5">
        <w:t xml:space="preserve">Denial of the gendered drivers of violence and what constitutes violence against women is </w:t>
      </w:r>
      <w:r w:rsidR="00EB4008">
        <w:t>considerable</w:t>
      </w:r>
      <w:r w:rsidR="00EB4008" w:rsidRPr="00EB4008">
        <w:rPr>
          <w:rFonts w:ascii="Segoe UI" w:eastAsiaTheme="minorHAnsi" w:hAnsi="Segoe UI" w:cs="Segoe UI"/>
          <w:color w:val="000000"/>
          <w:sz w:val="17"/>
          <w:szCs w:val="17"/>
          <w:lang w:eastAsia="en-US" w:bidi="ar-SA"/>
        </w:rPr>
        <w:t xml:space="preserve"> </w:t>
      </w:r>
      <w:r w:rsidR="00EB4008" w:rsidRPr="00EB4008">
        <w:t>(Our Watch 2020, p. 239)</w:t>
      </w:r>
      <w:r w:rsidR="00EB4008">
        <w:t>.</w:t>
      </w:r>
      <w:r w:rsidRPr="00437FB5">
        <w:t xml:space="preserve"> Denial as a form of resistance is not always hostile but </w:t>
      </w:r>
      <w:r>
        <w:t>involves</w:t>
      </w:r>
      <w:r w:rsidRPr="00437FB5">
        <w:t xml:space="preserve"> denying “the problem or the legitimacy of the case for change” (Flood et al., 2018)</w:t>
      </w:r>
      <w:r>
        <w:t xml:space="preserve">. Denial </w:t>
      </w:r>
      <w:r w:rsidRPr="00437FB5">
        <w:t>—in this case primary prevention of violence against women—</w:t>
      </w:r>
      <w:r w:rsidR="000617C1">
        <w:t xml:space="preserve"> </w:t>
      </w:r>
      <w:r>
        <w:t>perpetuates</w:t>
      </w:r>
      <w:r w:rsidRPr="00437FB5">
        <w:t xml:space="preserve"> the first gendered driver of condoning violence against women</w:t>
      </w:r>
      <w:r>
        <w:t xml:space="preserve"> by </w:t>
      </w:r>
      <w:r w:rsidRPr="001F2812">
        <w:rPr>
          <w:i/>
          <w:iCs/>
        </w:rPr>
        <w:t xml:space="preserve">justifying </w:t>
      </w:r>
      <w:r w:rsidRPr="00437FB5">
        <w:t xml:space="preserve">the acceptability of violence against women, </w:t>
      </w:r>
      <w:r w:rsidRPr="001F2812">
        <w:rPr>
          <w:i/>
          <w:iCs/>
        </w:rPr>
        <w:t>excusing</w:t>
      </w:r>
      <w:r w:rsidRPr="00437FB5">
        <w:t xml:space="preserve"> violent behaviour and structures, </w:t>
      </w:r>
      <w:r w:rsidRPr="001F2812">
        <w:rPr>
          <w:i/>
          <w:iCs/>
        </w:rPr>
        <w:t>trivialising</w:t>
      </w:r>
      <w:r w:rsidRPr="00437FB5">
        <w:t xml:space="preserve"> the impact of violence as not sufficiently serious enough to warrant action, </w:t>
      </w:r>
      <w:r w:rsidRPr="001F2812">
        <w:rPr>
          <w:i/>
          <w:iCs/>
        </w:rPr>
        <w:t>downplaying</w:t>
      </w:r>
      <w:r w:rsidRPr="00437FB5">
        <w:t xml:space="preserve"> the seriousness of violent behaviours and </w:t>
      </w:r>
      <w:r w:rsidRPr="001F2812">
        <w:rPr>
          <w:i/>
          <w:iCs/>
        </w:rPr>
        <w:t>shifting blame</w:t>
      </w:r>
      <w:r w:rsidRPr="00437FB5">
        <w:t xml:space="preserve"> from the perpetrator to the victim (Our Watch </w:t>
      </w:r>
      <w:r w:rsidR="00C2603C">
        <w:t>2021</w:t>
      </w:r>
      <w:r w:rsidRPr="00437FB5">
        <w:t xml:space="preserve">, pp. </w:t>
      </w:r>
      <w:r w:rsidR="00C2603C">
        <w:t>37</w:t>
      </w:r>
      <w:r w:rsidRPr="00437FB5">
        <w:t>-</w:t>
      </w:r>
      <w:r w:rsidR="00C2603C">
        <w:t>39</w:t>
      </w:r>
      <w:r w:rsidRPr="00437FB5">
        <w:t xml:space="preserve">). Indeed, the NCAS survey found that the strongest influences on attitudes towards violence against women were ‘denying gender inequality is a problem’ and ‘promoting rigid gender </w:t>
      </w:r>
      <w:proofErr w:type="gramStart"/>
      <w:r w:rsidRPr="00437FB5">
        <w:t>roles’</w:t>
      </w:r>
      <w:proofErr w:type="gramEnd"/>
      <w:r w:rsidRPr="00437FB5">
        <w:t xml:space="preserve">.  </w:t>
      </w:r>
    </w:p>
    <w:p w14:paraId="03862F18" w14:textId="77777777" w:rsidR="003C4492" w:rsidRPr="00437FB5" w:rsidRDefault="003C4492" w:rsidP="003C4492">
      <w:pPr>
        <w:rPr>
          <w:lang w:eastAsia="ja-JP"/>
        </w:rPr>
      </w:pPr>
    </w:p>
    <w:p w14:paraId="0F67CCB5" w14:textId="0EE6DCF9" w:rsidR="003C4492" w:rsidRDefault="003C4492" w:rsidP="003C4492">
      <w:pPr>
        <w:contextualSpacing/>
      </w:pPr>
      <w:r w:rsidRPr="00437FB5">
        <w:t>There are several overlapping elements of denial that can help us recognise and understand it in more nuanced ways across the socioecological model (</w:t>
      </w:r>
      <w:proofErr w:type="spellStart"/>
      <w:r>
        <w:t>Agócs</w:t>
      </w:r>
      <w:proofErr w:type="spellEnd"/>
      <w:r w:rsidRPr="00437FB5">
        <w:t xml:space="preserve"> 1997; Flood et al., 2018</w:t>
      </w:r>
      <w:r>
        <w:t>, p. 13</w:t>
      </w:r>
      <w:r w:rsidRPr="00437FB5">
        <w:t>). These can be understood as follows:</w:t>
      </w:r>
    </w:p>
    <w:p w14:paraId="49B7F627" w14:textId="316B0AC3" w:rsidR="003C4492" w:rsidRDefault="003C4492" w:rsidP="003C4492">
      <w:pPr>
        <w:contextualSpacing/>
      </w:pPr>
    </w:p>
    <w:p w14:paraId="01F2A41A" w14:textId="77777777" w:rsidR="003C4492" w:rsidRPr="000E7FAD" w:rsidRDefault="003C4492" w:rsidP="000E7FAD">
      <w:pPr>
        <w:pStyle w:val="ListParagraph"/>
        <w:widowControl/>
        <w:numPr>
          <w:ilvl w:val="0"/>
          <w:numId w:val="16"/>
        </w:numPr>
        <w:autoSpaceDE/>
        <w:autoSpaceDN/>
        <w:spacing w:before="0"/>
        <w:ind w:left="426"/>
        <w:contextualSpacing/>
        <w:rPr>
          <w:b/>
          <w:bCs/>
          <w:i/>
          <w:iCs/>
        </w:rPr>
      </w:pPr>
      <w:r w:rsidRPr="000E7FAD">
        <w:rPr>
          <w:b/>
          <w:bCs/>
          <w:i/>
          <w:iCs/>
        </w:rPr>
        <w:t xml:space="preserve">Denying the problem (violence against women) exists including minimising its extent, </w:t>
      </w:r>
      <w:proofErr w:type="gramStart"/>
      <w:r w:rsidRPr="000E7FAD">
        <w:rPr>
          <w:b/>
          <w:bCs/>
          <w:i/>
          <w:iCs/>
        </w:rPr>
        <w:t>significance</w:t>
      </w:r>
      <w:proofErr w:type="gramEnd"/>
      <w:r w:rsidRPr="000E7FAD">
        <w:rPr>
          <w:b/>
          <w:bCs/>
          <w:i/>
          <w:iCs/>
        </w:rPr>
        <w:t xml:space="preserve"> or impact and/or renaming and redefining the problem out of existence.</w:t>
      </w:r>
    </w:p>
    <w:p w14:paraId="7288B773" w14:textId="77777777" w:rsidR="003C4492" w:rsidRDefault="003C4492" w:rsidP="003C4492">
      <w:pPr>
        <w:contextualSpacing/>
      </w:pPr>
    </w:p>
    <w:p w14:paraId="77F2E32E" w14:textId="22B9C204" w:rsidR="003C4492" w:rsidRPr="00437FB5" w:rsidRDefault="003C4492" w:rsidP="003C4492">
      <w:r w:rsidRPr="00437FB5">
        <w:t xml:space="preserve">As one stakeholder said in an interview, “everyone wants to save someone from family violence, but nobody wants to give women the rights that men have got, actually nobody understands that women don't have those rights, they don't have a </w:t>
      </w:r>
      <w:r w:rsidRPr="00437FB5">
        <w:t>lot of the aspects that men have in this world, the privilege really of what they have as a group”</w:t>
      </w:r>
      <w:r>
        <w:t>.</w:t>
      </w:r>
      <w:r>
        <w:rPr>
          <w:rStyle w:val="FootnoteReference"/>
        </w:rPr>
        <w:footnoteReference w:id="7"/>
      </w:r>
      <w:r>
        <w:t xml:space="preserve"> </w:t>
      </w:r>
    </w:p>
    <w:p w14:paraId="3C024775" w14:textId="77777777" w:rsidR="003C4492" w:rsidRPr="00437FB5" w:rsidRDefault="003C4492" w:rsidP="003C4492"/>
    <w:p w14:paraId="07E6E54D" w14:textId="4B54DB89" w:rsidR="003C4492" w:rsidRDefault="009525BF" w:rsidP="003C4492">
      <w:pPr>
        <w:pStyle w:val="BodyText1"/>
      </w:pPr>
      <w:r>
        <w:t xml:space="preserve">Research indicates that </w:t>
      </w:r>
      <w:proofErr w:type="gramStart"/>
      <w:r>
        <w:t>t</w:t>
      </w:r>
      <w:r w:rsidR="003C4492" w:rsidRPr="00437FB5">
        <w:t>he majority of</w:t>
      </w:r>
      <w:proofErr w:type="gramEnd"/>
      <w:r w:rsidR="003C4492" w:rsidRPr="00437FB5">
        <w:t xml:space="preserve"> people tend to have less of an issue with recognising the issue of family violence and the need to prevent it. However, people are far more likely to be resistant to the idea that they are part of the story of violence against women, and that they may contribute to the drivers of this violence in subtle and subconscious ways in their relationships, homes, workplaces, social groups, and communities, because of the structures, </w:t>
      </w:r>
      <w:proofErr w:type="gramStart"/>
      <w:r w:rsidR="003C4492" w:rsidRPr="00437FB5">
        <w:t>norms</w:t>
      </w:r>
      <w:proofErr w:type="gramEnd"/>
      <w:r w:rsidR="003C4492" w:rsidRPr="00437FB5">
        <w:t xml:space="preserve"> and practices of gender inequality. Few people, especially those who consider themselves to be non-violent or </w:t>
      </w:r>
      <w:r w:rsidR="003C4492">
        <w:t xml:space="preserve">who </w:t>
      </w:r>
      <w:r w:rsidR="003C4492" w:rsidRPr="00437FB5">
        <w:t>have never been physically violent towards a person, want to recognise their complicity in the gendered drivers of violence. As a prevention officer working in a vocational education setting describes:</w:t>
      </w:r>
    </w:p>
    <w:p w14:paraId="64BC60DF" w14:textId="197833AD" w:rsidR="003C4492" w:rsidRPr="00C17070" w:rsidRDefault="003C4492" w:rsidP="00C17070">
      <w:pPr>
        <w:spacing w:before="120" w:after="120"/>
        <w:ind w:left="284" w:right="522"/>
        <w:rPr>
          <w:rFonts w:eastAsia="Times New Roman" w:cs="Times New Roman"/>
          <w:i/>
          <w:iCs/>
          <w:color w:val="000000" w:themeColor="text1"/>
          <w:lang w:eastAsia="en-GB"/>
        </w:rPr>
      </w:pPr>
      <w:r w:rsidRPr="00C17070">
        <w:rPr>
          <w:rFonts w:eastAsia="Times New Roman" w:cs="Times New Roman"/>
          <w:i/>
          <w:iCs/>
          <w:color w:val="000000" w:themeColor="text1"/>
          <w:lang w:eastAsia="en-GB"/>
        </w:rPr>
        <w:t xml:space="preserve">Bringing family violence prevention into [vocational education settings] was a little bit of a shock, people don’t understand what primary prevention means. I think when they hear the word family violence, they literally refer to family violence in the actual response side of it, more so than prevention. It was </w:t>
      </w:r>
      <w:proofErr w:type="gramStart"/>
      <w:r w:rsidRPr="00C17070">
        <w:rPr>
          <w:rFonts w:eastAsia="Times New Roman" w:cs="Times New Roman"/>
          <w:i/>
          <w:iCs/>
          <w:color w:val="000000" w:themeColor="text1"/>
          <w:lang w:eastAsia="en-GB"/>
        </w:rPr>
        <w:t>really interesting</w:t>
      </w:r>
      <w:proofErr w:type="gramEnd"/>
      <w:r w:rsidRPr="00C17070">
        <w:rPr>
          <w:rFonts w:eastAsia="Times New Roman" w:cs="Times New Roman"/>
          <w:i/>
          <w:iCs/>
          <w:color w:val="000000" w:themeColor="text1"/>
          <w:lang w:eastAsia="en-GB"/>
        </w:rPr>
        <w:t xml:space="preserve"> coming into that space, introducing primary prevention and then explaining to everyone that it was really focused on gender equality. I think that threw a lot of people back, like “hold on that’s not family violence, what are you talking about”. To go into certain areas was quite difficult. Everybody is “please come into our department, [capacity-building on] </w:t>
      </w:r>
      <w:r w:rsidRPr="00C17070">
        <w:rPr>
          <w:rFonts w:eastAsia="Times New Roman" w:cs="Times New Roman"/>
          <w:i/>
          <w:iCs/>
          <w:color w:val="000000" w:themeColor="text1"/>
          <w:lang w:eastAsia="en-GB"/>
        </w:rPr>
        <w:lastRenderedPageBreak/>
        <w:t xml:space="preserve">family violence sounds amazing, I want my staff to know about this” [but when] we talk about the drivers and gender equality, </w:t>
      </w:r>
      <w:proofErr w:type="gramStart"/>
      <w:r w:rsidRPr="00C17070">
        <w:rPr>
          <w:rFonts w:eastAsia="Times New Roman" w:cs="Times New Roman"/>
          <w:i/>
          <w:iCs/>
          <w:color w:val="000000" w:themeColor="text1"/>
          <w:lang w:eastAsia="en-GB"/>
        </w:rPr>
        <w:t>all of a sudden</w:t>
      </w:r>
      <w:proofErr w:type="gramEnd"/>
      <w:r w:rsidRPr="00C17070">
        <w:rPr>
          <w:rFonts w:eastAsia="Times New Roman" w:cs="Times New Roman"/>
          <w:i/>
          <w:iCs/>
          <w:color w:val="000000" w:themeColor="text1"/>
          <w:lang w:eastAsia="en-GB"/>
        </w:rPr>
        <w:t xml:space="preserve"> you get these looks.</w:t>
      </w:r>
      <w:r w:rsidRPr="007F50DB">
        <w:rPr>
          <w:rStyle w:val="FootnoteReference"/>
        </w:rPr>
        <w:footnoteReference w:id="8"/>
      </w:r>
      <w:r w:rsidRPr="00C17070">
        <w:rPr>
          <w:rFonts w:eastAsia="Times New Roman" w:cs="Times New Roman"/>
          <w:i/>
          <w:iCs/>
          <w:color w:val="000000" w:themeColor="text1"/>
          <w:lang w:eastAsia="en-GB"/>
        </w:rPr>
        <w:t xml:space="preserve"> </w:t>
      </w:r>
    </w:p>
    <w:p w14:paraId="6EA9F482" w14:textId="16E1F2B1" w:rsidR="003C4492" w:rsidRPr="00437FB5" w:rsidRDefault="003C4492" w:rsidP="003C4492">
      <w:r w:rsidRPr="00437FB5">
        <w:t>This example echoes the common response to primary prevention efforts that sees people claim that gender inequality has nothing to do with violence against women, because they believe it is about individual perpetrators</w:t>
      </w:r>
      <w:r>
        <w:t>’</w:t>
      </w:r>
      <w:r w:rsidRPr="00437FB5">
        <w:t xml:space="preserve"> mental health or alcohol consumption or socioeconomic status.</w:t>
      </w:r>
      <w:r>
        <w:t xml:space="preserve"> Although these factors can play a role in reinforcing violence against women, they are not the underlying drivers of or causal explanation for this violence (Our Watch</w:t>
      </w:r>
      <w:r w:rsidR="00C2603C">
        <w:t>,</w:t>
      </w:r>
      <w:r>
        <w:t xml:space="preserve"> </w:t>
      </w:r>
      <w:r w:rsidR="00C2603C">
        <w:t>2021</w:t>
      </w:r>
      <w:r>
        <w:t>). This common form of denial renames and redefines the drivers of violence as an individual</w:t>
      </w:r>
      <w:r w:rsidR="00503C8C">
        <w:t xml:space="preserve"> issue</w:t>
      </w:r>
      <w:r>
        <w:t>, thus refusing to acknowledge any</w:t>
      </w:r>
      <w:r w:rsidR="00503C8C">
        <w:t xml:space="preserve"> systemic and</w:t>
      </w:r>
      <w:r>
        <w:t xml:space="preserve"> societal responsibility to address violence against women. </w:t>
      </w:r>
    </w:p>
    <w:p w14:paraId="0916123F" w14:textId="77777777" w:rsidR="003C4492" w:rsidRPr="00437FB5" w:rsidRDefault="003C4492" w:rsidP="003C4492"/>
    <w:p w14:paraId="21C1911F" w14:textId="77777777" w:rsidR="003C4492" w:rsidRDefault="003C4492" w:rsidP="003C4492">
      <w:r>
        <w:t>At an institutional and organisational level, denial can manifest as ‘</w:t>
      </w:r>
      <w:r w:rsidRPr="00437FB5">
        <w:t>gender blindness</w:t>
      </w:r>
      <w:r>
        <w:t>’,</w:t>
      </w:r>
      <w:r w:rsidRPr="00437FB5">
        <w:t xml:space="preserve"> refer</w:t>
      </w:r>
      <w:r>
        <w:t>ring</w:t>
      </w:r>
      <w:r w:rsidRPr="00437FB5">
        <w:t xml:space="preserve"> to when organisations ignore gender</w:t>
      </w:r>
      <w:r>
        <w:t xml:space="preserve"> by </w:t>
      </w:r>
      <w:r w:rsidRPr="00437FB5">
        <w:t xml:space="preserve">operating from unstated </w:t>
      </w:r>
      <w:r>
        <w:t>masculine</w:t>
      </w:r>
      <w:r w:rsidRPr="00437FB5">
        <w:t xml:space="preserve"> norms that conceal male privilege</w:t>
      </w:r>
      <w:r>
        <w:t xml:space="preserve">. There is </w:t>
      </w:r>
      <w:r w:rsidRPr="00437FB5">
        <w:t>no recognition of the difference in men and women’s experiences or the need for different policies to respond to different experiences</w:t>
      </w:r>
      <w:r>
        <w:t xml:space="preserve"> based on gender. </w:t>
      </w:r>
    </w:p>
    <w:p w14:paraId="1C0F4F84" w14:textId="77777777" w:rsidR="003C4492" w:rsidRDefault="003C4492" w:rsidP="003C4492"/>
    <w:p w14:paraId="2EC6A778" w14:textId="19E9091D" w:rsidR="003C4492" w:rsidRDefault="003C4492" w:rsidP="003C4492">
      <w:r>
        <w:t xml:space="preserve">This includes policies and practices that promote equitable caring responsibilities that </w:t>
      </w:r>
      <w:proofErr w:type="gramStart"/>
      <w:r>
        <w:t>take into account</w:t>
      </w:r>
      <w:proofErr w:type="gramEnd"/>
      <w:r>
        <w:t xml:space="preserve"> women’s disproportionate unpaid, reproductive labour burdens. Often this is framed in terms of women’s individual choices (</w:t>
      </w:r>
      <w:proofErr w:type="gramStart"/>
      <w:r>
        <w:t>e.g.</w:t>
      </w:r>
      <w:proofErr w:type="gramEnd"/>
      <w:r>
        <w:t xml:space="preserve"> to have a baby) rather than gender norms, practices and structures that shape women’s personal and professional lives. For example, the design of policies around parental leave often disincentivise men </w:t>
      </w:r>
      <w:r>
        <w:t xml:space="preserve">from being primary carers where women continue to constitute 95% of primary carers, having huge impact on women’s economic opportunities and labour force participation rates (Baird, Hamilton and Constantin 2021, pp. 8-9). </w:t>
      </w:r>
    </w:p>
    <w:p w14:paraId="1613835C" w14:textId="77777777" w:rsidR="003C4492" w:rsidRDefault="003C4492" w:rsidP="003C4492"/>
    <w:p w14:paraId="05A30EF5" w14:textId="4F6A308A" w:rsidR="003C4492" w:rsidRDefault="003C4492" w:rsidP="003C4492">
      <w:pPr>
        <w:rPr>
          <w:rFonts w:eastAsia="Times New Roman" w:cs="Times New Roman"/>
          <w:lang w:eastAsia="en-GB"/>
        </w:rPr>
      </w:pPr>
      <w:r>
        <w:t>When institutional and organisational policies fail to take these gender dynamics into account, it supports</w:t>
      </w:r>
      <w:r w:rsidRPr="00437FB5">
        <w:t xml:space="preserve"> male dominance and privilege in organisations and institutions</w:t>
      </w:r>
      <w:r>
        <w:t xml:space="preserve">. This privilege remains embedded through institutional practices, </w:t>
      </w:r>
      <w:proofErr w:type="gramStart"/>
      <w:r>
        <w:t>policies</w:t>
      </w:r>
      <w:proofErr w:type="gramEnd"/>
      <w:r>
        <w:t xml:space="preserve"> and cultures where </w:t>
      </w:r>
      <w:r w:rsidRPr="00437FB5">
        <w:t>th</w:t>
      </w:r>
      <w:r>
        <w:t xml:space="preserve">e </w:t>
      </w:r>
      <w:r w:rsidRPr="00437FB5">
        <w:rPr>
          <w:rFonts w:eastAsia="Times New Roman" w:cs="Times New Roman"/>
          <w:lang w:eastAsia="en-GB"/>
        </w:rPr>
        <w:t xml:space="preserve">gendered institution is seen as natural, a given, and taken for granted, blind to the gendered structures, norms and practices </w:t>
      </w:r>
      <w:r>
        <w:rPr>
          <w:rFonts w:eastAsia="Times New Roman" w:cs="Times New Roman"/>
          <w:lang w:eastAsia="en-GB"/>
        </w:rPr>
        <w:t xml:space="preserve">that sustain gender inequalities </w:t>
      </w:r>
      <w:r w:rsidRPr="00437FB5">
        <w:rPr>
          <w:rFonts w:eastAsia="Times New Roman" w:cs="Times New Roman"/>
          <w:lang w:eastAsia="en-GB"/>
        </w:rPr>
        <w:t>(Colley et al., 2020, p. 4</w:t>
      </w:r>
      <w:r>
        <w:rPr>
          <w:rFonts w:eastAsia="Times New Roman" w:cs="Times New Roman"/>
          <w:lang w:eastAsia="en-GB"/>
        </w:rPr>
        <w:t xml:space="preserve">; see </w:t>
      </w:r>
      <w:r w:rsidR="002166A0">
        <w:rPr>
          <w:rFonts w:eastAsia="Times New Roman" w:cs="Times New Roman"/>
          <w:lang w:eastAsia="en-GB"/>
        </w:rPr>
        <w:t>pages 39-43</w:t>
      </w:r>
      <w:r w:rsidRPr="00437FB5">
        <w:rPr>
          <w:rFonts w:eastAsia="Times New Roman" w:cs="Times New Roman"/>
          <w:lang w:eastAsia="en-GB"/>
        </w:rPr>
        <w:t>).</w:t>
      </w:r>
    </w:p>
    <w:p w14:paraId="0146E49C" w14:textId="17BCD3C5" w:rsidR="003C4492" w:rsidRDefault="003C4492" w:rsidP="003C4492">
      <w:pPr>
        <w:rPr>
          <w:rFonts w:eastAsia="Times New Roman" w:cs="Times New Roman"/>
          <w:lang w:eastAsia="en-GB"/>
        </w:rPr>
      </w:pPr>
    </w:p>
    <w:p w14:paraId="381469F4" w14:textId="77777777" w:rsidR="003C4492" w:rsidRPr="003C4492" w:rsidRDefault="003C4492" w:rsidP="00B01F9C">
      <w:pPr>
        <w:pStyle w:val="ListParagraph"/>
        <w:widowControl/>
        <w:numPr>
          <w:ilvl w:val="0"/>
          <w:numId w:val="16"/>
        </w:numPr>
        <w:autoSpaceDE/>
        <w:autoSpaceDN/>
        <w:spacing w:before="0"/>
        <w:ind w:left="426"/>
        <w:contextualSpacing/>
        <w:rPr>
          <w:b/>
          <w:bCs/>
          <w:i/>
          <w:iCs/>
        </w:rPr>
      </w:pPr>
      <w:r w:rsidRPr="00437FB5">
        <w:rPr>
          <w:b/>
          <w:bCs/>
          <w:i/>
          <w:iCs/>
        </w:rPr>
        <w:t>Blaming victims for violence perpetrated against them</w:t>
      </w:r>
      <w:r w:rsidRPr="003C4492">
        <w:rPr>
          <w:b/>
          <w:bCs/>
          <w:i/>
          <w:iCs/>
        </w:rPr>
        <w:t xml:space="preserve"> </w:t>
      </w:r>
    </w:p>
    <w:p w14:paraId="4214EEA8" w14:textId="77777777" w:rsidR="003C4492" w:rsidRPr="003C3731" w:rsidRDefault="003C4492" w:rsidP="003C4492">
      <w:pPr>
        <w:rPr>
          <w:rFonts w:eastAsia="Times New Roman" w:cs="Times New Roman"/>
          <w:lang w:eastAsia="en-GB"/>
        </w:rPr>
      </w:pPr>
    </w:p>
    <w:p w14:paraId="761457C9" w14:textId="33633603" w:rsidR="003C4492" w:rsidRPr="00437FB5" w:rsidRDefault="003C4492" w:rsidP="003C4492">
      <w:r w:rsidRPr="00437FB5">
        <w:t>This is a common response and is one of the ways violence against women is condoned (Flood et al., 2018,</w:t>
      </w:r>
      <w:r w:rsidR="00BC4483">
        <w:t xml:space="preserve"> </w:t>
      </w:r>
      <w:r w:rsidRPr="00437FB5">
        <w:t xml:space="preserve">p. 13). </w:t>
      </w:r>
      <w:r w:rsidR="009525BF">
        <w:t>The National Community Attitudes Survey indicates that o</w:t>
      </w:r>
      <w:r w:rsidRPr="00437FB5">
        <w:t>ne in eight Australians believe that if a woman is raped while she is affected by drugs or alcohol, she is at least partly responsible. One in ten Australians believe that domestic violence can be excused if a woman is affected by alcohol and one in three Australians believe that if a woman doesn’t leave her abusive partner, then she is responsible for violence continuing. A third of Australians believe if a woman sends a nude image to her partner, she is partly responsible if he shares it without her permission (</w:t>
      </w:r>
      <w:r>
        <w:t>Webster et al.,</w:t>
      </w:r>
      <w:r w:rsidRPr="00437FB5">
        <w:t xml:space="preserve"> 2017). What these numbers demonstrates is the extent of attitudes that continue to blame women for violence they experience</w:t>
      </w:r>
      <w:r>
        <w:t>.</w:t>
      </w:r>
      <w:r w:rsidRPr="00437FB5">
        <w:t xml:space="preserve"> </w:t>
      </w:r>
    </w:p>
    <w:p w14:paraId="0578BEDF" w14:textId="77777777" w:rsidR="003C4492" w:rsidRPr="00437FB5" w:rsidRDefault="003C4492" w:rsidP="003C4492"/>
    <w:p w14:paraId="2C2ED0CC" w14:textId="21AC3FF8" w:rsidR="00EB4008" w:rsidRDefault="003C4492" w:rsidP="003C4492">
      <w:r w:rsidRPr="00437FB5">
        <w:t xml:space="preserve">Rather than focusing on challenging the </w:t>
      </w:r>
      <w:r w:rsidRPr="00437FB5">
        <w:lastRenderedPageBreak/>
        <w:t xml:space="preserve">gendered drivers of violence, victim-blaming shifts responsibility onto victim survivors for the violence and harassment they experience. </w:t>
      </w:r>
      <w:r w:rsidR="00EB4008">
        <w:t>Examples of victim-blaming include, f</w:t>
      </w:r>
      <w:r w:rsidRPr="00437FB5">
        <w:t xml:space="preserve">or </w:t>
      </w:r>
      <w:r w:rsidR="00EB4008">
        <w:t>example:</w:t>
      </w:r>
      <w:r w:rsidRPr="00437FB5">
        <w:t xml:space="preserve"> </w:t>
      </w:r>
    </w:p>
    <w:p w14:paraId="58C09243" w14:textId="681EC12B" w:rsidR="00EB4008" w:rsidRDefault="002C6A21" w:rsidP="00C4511B">
      <w:pPr>
        <w:pStyle w:val="ListParagraph"/>
        <w:numPr>
          <w:ilvl w:val="0"/>
          <w:numId w:val="42"/>
        </w:numPr>
      </w:pPr>
      <w:r>
        <w:t>N</w:t>
      </w:r>
      <w:r w:rsidR="003C4492" w:rsidRPr="00437FB5">
        <w:t xml:space="preserve">ot calling out men’s violent behaviour, rather arguing that </w:t>
      </w:r>
      <w:r w:rsidR="003C4492">
        <w:t>‘</w:t>
      </w:r>
      <w:r w:rsidR="003C4492" w:rsidRPr="00437FB5">
        <w:t>women shouldn’t dress so provocatively</w:t>
      </w:r>
      <w:r w:rsidR="003C4492">
        <w:t xml:space="preserve">’ </w:t>
      </w:r>
      <w:r w:rsidR="003C4492" w:rsidRPr="00437FB5">
        <w:t xml:space="preserve">or </w:t>
      </w:r>
      <w:r w:rsidR="003C4492">
        <w:t>‘</w:t>
      </w:r>
      <w:r w:rsidR="003C4492" w:rsidRPr="00437FB5">
        <w:t>women should not walk at night alone, especially not with headphones in</w:t>
      </w:r>
      <w:r w:rsidR="003C4492">
        <w:t>.’</w:t>
      </w:r>
      <w:r w:rsidR="003C4492" w:rsidRPr="00437FB5">
        <w:t xml:space="preserve"> </w:t>
      </w:r>
    </w:p>
    <w:p w14:paraId="55A37CB7" w14:textId="3BB4D255" w:rsidR="002C6A21" w:rsidRDefault="003C4492" w:rsidP="00C4511B">
      <w:pPr>
        <w:pStyle w:val="ListParagraph"/>
        <w:numPr>
          <w:ilvl w:val="0"/>
          <w:numId w:val="42"/>
        </w:numPr>
      </w:pPr>
      <w:r w:rsidRPr="00437FB5">
        <w:t>Tips for women’s safety to avoid being raped, such as #SafetyTipsForWomen on Twitter</w:t>
      </w:r>
      <w:r w:rsidR="000617C1">
        <w:t>.</w:t>
      </w:r>
      <w:r w:rsidRPr="00437FB5">
        <w:t xml:space="preserve"> </w:t>
      </w:r>
    </w:p>
    <w:p w14:paraId="1B8C48E3" w14:textId="36B6B002" w:rsidR="002C6A21" w:rsidRDefault="002C6A21" w:rsidP="003C4492">
      <w:pPr>
        <w:pStyle w:val="ListParagraph"/>
        <w:numPr>
          <w:ilvl w:val="0"/>
          <w:numId w:val="42"/>
        </w:numPr>
      </w:pPr>
      <w:r>
        <w:t>S</w:t>
      </w:r>
      <w:r w:rsidR="003C4492" w:rsidRPr="00437FB5">
        <w:t>har</w:t>
      </w:r>
      <w:r>
        <w:t>ing</w:t>
      </w:r>
      <w:r w:rsidR="003C4492" w:rsidRPr="00437FB5">
        <w:t xml:space="preserve"> self-defence tips that place the focus on self-policing (usually) women’s bodies, </w:t>
      </w:r>
      <w:proofErr w:type="gramStart"/>
      <w:r w:rsidR="003C4492" w:rsidRPr="00437FB5">
        <w:t>space</w:t>
      </w:r>
      <w:proofErr w:type="gramEnd"/>
      <w:r w:rsidR="003C4492" w:rsidRPr="00437FB5">
        <w:t xml:space="preserve"> and behaviours.</w:t>
      </w:r>
    </w:p>
    <w:p w14:paraId="043F2671" w14:textId="73BF03DA" w:rsidR="003C4492" w:rsidRPr="00437FB5" w:rsidRDefault="003C4492" w:rsidP="00C4511B">
      <w:pPr>
        <w:pStyle w:val="ListParagraph"/>
        <w:numPr>
          <w:ilvl w:val="0"/>
          <w:numId w:val="42"/>
        </w:numPr>
      </w:pPr>
      <w:r w:rsidRPr="00437FB5">
        <w:t>Advice ‘for women’ to not fall ‘prey’ to sexual predators</w:t>
      </w:r>
      <w:r w:rsidR="002C6A21">
        <w:t>,</w:t>
      </w:r>
      <w:r w:rsidRPr="00437FB5">
        <w:t xml:space="preserve"> </w:t>
      </w:r>
      <w:r w:rsidR="002C6A21">
        <w:t xml:space="preserve">ranging </w:t>
      </w:r>
      <w:r w:rsidRPr="00437FB5">
        <w:t>from women’s consumption of alcohol, to being out at night-time, to not being attractive (</w:t>
      </w:r>
      <w:r w:rsidR="002C6A21" w:rsidRPr="00437FB5">
        <w:t>Rentschler 2015</w:t>
      </w:r>
      <w:r w:rsidRPr="00437FB5">
        <w:t xml:space="preserve">). </w:t>
      </w:r>
    </w:p>
    <w:p w14:paraId="05B25DB9" w14:textId="77777777" w:rsidR="003C4492" w:rsidRPr="00437FB5" w:rsidRDefault="003C4492" w:rsidP="003C4492"/>
    <w:p w14:paraId="7045C0D6" w14:textId="511023B5" w:rsidR="002C6A21" w:rsidRDefault="002C6A21" w:rsidP="003C4492">
      <w:r>
        <w:t>These attitudes can be espoused in both private and public discourses and rhetoric around sexual assault allegations</w:t>
      </w:r>
      <w:r w:rsidRPr="002C6A21">
        <w:t xml:space="preserve"> </w:t>
      </w:r>
      <w:r>
        <w:t>(</w:t>
      </w:r>
      <w:proofErr w:type="spellStart"/>
      <w:r w:rsidRPr="00437FB5">
        <w:t>Maley</w:t>
      </w:r>
      <w:proofErr w:type="spellEnd"/>
      <w:r w:rsidRPr="00437FB5">
        <w:t xml:space="preserve"> 2021</w:t>
      </w:r>
      <w:r>
        <w:t>.</w:t>
      </w:r>
    </w:p>
    <w:p w14:paraId="0CCE6E60" w14:textId="77777777" w:rsidR="002C6A21" w:rsidRDefault="002C6A21" w:rsidP="003C4492"/>
    <w:p w14:paraId="7178DFF7" w14:textId="179DEEE9" w:rsidR="003C4492" w:rsidRDefault="003C4492" w:rsidP="003C4492">
      <w:r w:rsidRPr="00437FB5">
        <w:t xml:space="preserve">Victim-blaming is amplified for women who </w:t>
      </w:r>
      <w:r>
        <w:t>also experience other forms of oppression and discrimination</w:t>
      </w:r>
      <w:r w:rsidRPr="00437FB5">
        <w:t xml:space="preserve">. For example, media reporting of Aboriginal and Torres Strait Islander women who are victims of gendered violence often invokes </w:t>
      </w:r>
      <w:proofErr w:type="spellStart"/>
      <w:r w:rsidRPr="00437FB5">
        <w:t>raciali</w:t>
      </w:r>
      <w:r w:rsidR="00D53ED4">
        <w:t>s</w:t>
      </w:r>
      <w:r w:rsidRPr="00437FB5">
        <w:t>ed</w:t>
      </w:r>
      <w:proofErr w:type="spellEnd"/>
      <w:r w:rsidRPr="00437FB5">
        <w:t xml:space="preserve"> stereotypes, such as alcohol or drug use. As </w:t>
      </w:r>
      <w:r w:rsidRPr="00437FB5">
        <w:rPr>
          <w:i/>
          <w:iCs/>
        </w:rPr>
        <w:t>Changing the picture</w:t>
      </w:r>
      <w:r w:rsidRPr="00437FB5">
        <w:t xml:space="preserve"> notes, this trivialises the violence towards Aboriginal and Torres Strait Islander women as less serious or worthy of attention (Our Watch</w:t>
      </w:r>
      <w:r>
        <w:t xml:space="preserve"> 2018</w:t>
      </w:r>
      <w:r w:rsidR="00695A9A">
        <w:t>).</w:t>
      </w:r>
    </w:p>
    <w:p w14:paraId="1A587E9D" w14:textId="77777777" w:rsidR="003C4492" w:rsidRDefault="003C4492" w:rsidP="003C4492"/>
    <w:p w14:paraId="26C23D2D" w14:textId="4534EC42" w:rsidR="003C4492" w:rsidRPr="00437FB5" w:rsidRDefault="003C4492" w:rsidP="003C4492">
      <w:pPr>
        <w:rPr>
          <w:shd w:val="clear" w:color="auto" w:fill="FFFFFF"/>
          <w:lang w:eastAsia="en-GB"/>
        </w:rPr>
      </w:pPr>
      <w:r w:rsidRPr="00437FB5">
        <w:t xml:space="preserve">Violence against sex workers, a highly stigmatised and discriminated against community, is often excused due to the perceived risks of and stigma attached to </w:t>
      </w:r>
      <w:r w:rsidRPr="00437FB5">
        <w:t>sex work (Smith 2013; Stardust 2017). As Smith (2013) writes, “T</w:t>
      </w:r>
      <w:r w:rsidRPr="00437FB5">
        <w:rPr>
          <w:shd w:val="clear" w:color="auto" w:fill="FFFFFF"/>
          <w:lang w:eastAsia="en-GB"/>
        </w:rPr>
        <w:t>his stigma feeds into understandings of women that are violence-supporting and referring to victims of violence as “prostitutes” continues to “other” these women and locates them as somehow deserving: she knew the danger”. These types of attitudes dehumanise sex workers and excuse violence perpetrated against them.</w:t>
      </w:r>
    </w:p>
    <w:p w14:paraId="04B1BF51" w14:textId="77777777" w:rsidR="003C4492" w:rsidRPr="00437FB5" w:rsidRDefault="003C4492" w:rsidP="003C4492"/>
    <w:p w14:paraId="60C4F7F9" w14:textId="50991F96" w:rsidR="003C4492" w:rsidRDefault="003C4492" w:rsidP="003C4492">
      <w:r w:rsidRPr="00437FB5">
        <w:t xml:space="preserve">On legislative and judicial institutional levels, shifting blame onto victims is built into </w:t>
      </w:r>
      <w:r>
        <w:t xml:space="preserve">certain </w:t>
      </w:r>
      <w:r w:rsidRPr="00437FB5">
        <w:t>practices and processes, such as allowing women’s sexual history to be presented in rape trials</w:t>
      </w:r>
      <w:r w:rsidR="002C6A21">
        <w:t xml:space="preserve"> and</w:t>
      </w:r>
      <w:r w:rsidRPr="00437FB5">
        <w:t xml:space="preserve"> conveying that a woman’s behaviour is relevant to acts of </w:t>
      </w:r>
      <w:r w:rsidR="000617C1" w:rsidRPr="00437FB5">
        <w:t xml:space="preserve">violence </w:t>
      </w:r>
      <w:r w:rsidRPr="00437FB5">
        <w:t xml:space="preserve">perpetrated against her (Our Watch </w:t>
      </w:r>
      <w:r w:rsidR="00C2603C">
        <w:t>2021</w:t>
      </w:r>
      <w:r w:rsidRPr="00437FB5">
        <w:t>, p</w:t>
      </w:r>
      <w:r w:rsidR="00C2603C">
        <w:t>p</w:t>
      </w:r>
      <w:r w:rsidRPr="00437FB5">
        <w:t xml:space="preserve">. </w:t>
      </w:r>
      <w:r w:rsidR="00C2603C">
        <w:t>37-38</w:t>
      </w:r>
      <w:r w:rsidRPr="00437FB5">
        <w:t xml:space="preserve">). In broader societal discourses, in an analysis of Australian media reporting, the authors found that 16% of analysed news items about sexual assault inferred </w:t>
      </w:r>
      <w:proofErr w:type="gramStart"/>
      <w:r w:rsidRPr="00437FB5">
        <w:t>that women</w:t>
      </w:r>
      <w:proofErr w:type="gramEnd"/>
      <w:r w:rsidRPr="00437FB5">
        <w:t xml:space="preserve"> were partly responsible by placing themselves at risk by drinking, “flirting” or going home with the perpetrator (</w:t>
      </w:r>
      <w:r>
        <w:t>Sutherland et al.,</w:t>
      </w:r>
      <w:r w:rsidRPr="00437FB5">
        <w:t xml:space="preserve"> 2016, p. 24). </w:t>
      </w:r>
    </w:p>
    <w:p w14:paraId="1E68B0F2" w14:textId="77777777" w:rsidR="003C4492" w:rsidRDefault="003C4492" w:rsidP="003C4492"/>
    <w:p w14:paraId="3C38A76A" w14:textId="55DD6590" w:rsidR="003C4492" w:rsidRDefault="002C6A21" w:rsidP="003C4492">
      <w:r>
        <w:t>This analysis found that o</w:t>
      </w:r>
      <w:r w:rsidR="003C4492" w:rsidRPr="00437FB5">
        <w:t xml:space="preserve">ften, media coverage excused violent behaviour in descriptions about the incident and in descriptions about male perpetrators and their character, such as they were “friendly”, </w:t>
      </w:r>
      <w:r w:rsidR="003C4492">
        <w:t xml:space="preserve">a </w:t>
      </w:r>
      <w:r w:rsidR="003C4492" w:rsidRPr="00437FB5">
        <w:t>“hard-worker” or “good guy” and violence was “out of character” (</w:t>
      </w:r>
      <w:r w:rsidR="003C4492">
        <w:t>Sutherland et al.,</w:t>
      </w:r>
      <w:r w:rsidR="003C4492" w:rsidRPr="00437FB5">
        <w:t xml:space="preserve"> 2016, p. 27</w:t>
      </w:r>
      <w:r w:rsidR="003C4492">
        <w:t>; see Highlight Box 2</w:t>
      </w:r>
      <w:r w:rsidR="003C4492" w:rsidRPr="00437FB5">
        <w:t>). The authors also found that perpetrators were generally invisible in reporting of violence against women.</w:t>
      </w:r>
    </w:p>
    <w:p w14:paraId="79519EB0" w14:textId="77777777" w:rsidR="003C4492" w:rsidRPr="00437FB5" w:rsidRDefault="003C4492" w:rsidP="003C4492"/>
    <w:p w14:paraId="4B41BB0D" w14:textId="7F5C8715" w:rsidR="003C4492" w:rsidRPr="003C4492" w:rsidRDefault="003C4492" w:rsidP="003C4492">
      <w:pPr>
        <w:pStyle w:val="IntenseQuote"/>
        <w:rPr>
          <w:i w:val="0"/>
          <w:iCs w:val="0"/>
          <w:sz w:val="24"/>
        </w:rPr>
      </w:pPr>
      <w:r w:rsidRPr="003C4492">
        <w:rPr>
          <w:rStyle w:val="IntenseEmphasis"/>
          <w:i/>
          <w:iCs/>
          <w:color w:val="F79646" w:themeColor="accent6"/>
          <w:sz w:val="24"/>
        </w:rPr>
        <w:t>Close to 6</w:t>
      </w:r>
      <w:r w:rsidR="000D7FA6">
        <w:rPr>
          <w:rStyle w:val="IntenseEmphasis"/>
          <w:i/>
          <w:iCs/>
          <w:color w:val="F79646" w:themeColor="accent6"/>
          <w:sz w:val="24"/>
        </w:rPr>
        <w:t>0</w:t>
      </w:r>
      <w:r w:rsidR="001D6DDA">
        <w:rPr>
          <w:rStyle w:val="IntenseEmphasis"/>
          <w:i/>
          <w:iCs/>
          <w:color w:val="F79646" w:themeColor="accent6"/>
          <w:sz w:val="24"/>
        </w:rPr>
        <w:t xml:space="preserve">% </w:t>
      </w:r>
      <w:r w:rsidRPr="003C4492">
        <w:rPr>
          <w:rStyle w:val="IntenseEmphasis"/>
          <w:i/>
          <w:iCs/>
          <w:color w:val="F79646" w:themeColor="accent6"/>
          <w:sz w:val="24"/>
        </w:rPr>
        <w:t xml:space="preserve">of news items that were about, or referred to, incidents of violence included no information about perpetrators. Violence against women is committed by another person, usually by a man, usually by a man that a woman knows, yet it is frequently reported as </w:t>
      </w:r>
      <w:r w:rsidRPr="003C4492">
        <w:rPr>
          <w:rStyle w:val="IntenseEmphasis"/>
          <w:i/>
          <w:iCs/>
          <w:color w:val="F79646" w:themeColor="accent6"/>
          <w:sz w:val="24"/>
        </w:rPr>
        <w:lastRenderedPageBreak/>
        <w:t>though that other person – boyfriend, husband, partner – does not exist (Sutherland et al., 2016, p. 32).</w:t>
      </w:r>
    </w:p>
    <w:p w14:paraId="32054358" w14:textId="76E327DB" w:rsidR="003C4492" w:rsidRPr="00437FB5" w:rsidRDefault="003C4492" w:rsidP="003C4492"/>
    <w:p w14:paraId="76316588" w14:textId="77777777" w:rsidR="003C4492" w:rsidRPr="00437FB5" w:rsidRDefault="003C4492" w:rsidP="00B01F9C">
      <w:pPr>
        <w:pStyle w:val="ListParagraph"/>
        <w:widowControl/>
        <w:numPr>
          <w:ilvl w:val="0"/>
          <w:numId w:val="16"/>
        </w:numPr>
        <w:autoSpaceDE/>
        <w:autoSpaceDN/>
        <w:spacing w:before="0"/>
        <w:ind w:left="426"/>
        <w:contextualSpacing/>
        <w:rPr>
          <w:b/>
          <w:bCs/>
          <w:i/>
          <w:iCs/>
        </w:rPr>
      </w:pPr>
      <w:r w:rsidRPr="00437FB5">
        <w:rPr>
          <w:b/>
          <w:bCs/>
          <w:i/>
          <w:iCs/>
        </w:rPr>
        <w:t>Denying the credibility of the message on the basis that it is supposedly irrational, untruthful, or exaggerated</w:t>
      </w:r>
      <w:r w:rsidRPr="003C4492">
        <w:rPr>
          <w:b/>
          <w:bCs/>
          <w:i/>
          <w:iCs/>
        </w:rPr>
        <w:t>.</w:t>
      </w:r>
      <w:r w:rsidRPr="00437FB5">
        <w:rPr>
          <w:b/>
          <w:bCs/>
          <w:i/>
          <w:iCs/>
        </w:rPr>
        <w:t xml:space="preserve"> </w:t>
      </w:r>
    </w:p>
    <w:p w14:paraId="290A0471" w14:textId="6FDB8363" w:rsidR="003C4492" w:rsidRDefault="003C4492" w:rsidP="003C4492"/>
    <w:p w14:paraId="5B9C7ABE" w14:textId="77777777" w:rsidR="003C4492" w:rsidRPr="00437FB5" w:rsidRDefault="003C4492" w:rsidP="003C4492">
      <w:r w:rsidRPr="00437FB5">
        <w:t>Violence against women in Australian society is normalised, with many Australians holding attitudes that suggest sexual aggression is part of a man’s sex drive, a normal reaction to a man’s stress or anger, and a normal gender dynamic in a relationship</w:t>
      </w:r>
      <w:r>
        <w:t xml:space="preserve">. </w:t>
      </w:r>
      <w:r w:rsidRPr="00437FB5">
        <w:t xml:space="preserve">Two in five Australians believe that women make up false reports of sexual assault to punish men, and a similar number believe that women going through custody cases make up or exaggerate claims of domestic violence </w:t>
      </w:r>
      <w:proofErr w:type="gramStart"/>
      <w:r w:rsidRPr="00437FB5">
        <w:t>in order to</w:t>
      </w:r>
      <w:proofErr w:type="gramEnd"/>
      <w:r w:rsidRPr="00437FB5">
        <w:t xml:space="preserve"> improve their chances (</w:t>
      </w:r>
      <w:r>
        <w:t>Webster et al.,</w:t>
      </w:r>
      <w:r w:rsidRPr="00437FB5">
        <w:t xml:space="preserve"> 201</w:t>
      </w:r>
      <w:r>
        <w:t>8</w:t>
      </w:r>
      <w:r w:rsidRPr="00437FB5">
        <w:t xml:space="preserve">). </w:t>
      </w:r>
    </w:p>
    <w:p w14:paraId="534C6C58" w14:textId="77777777" w:rsidR="003C4492" w:rsidRDefault="003C4492" w:rsidP="003C4492"/>
    <w:p w14:paraId="6A2CD4B0" w14:textId="77777777" w:rsidR="003C4492" w:rsidRPr="00437FB5" w:rsidRDefault="003C4492" w:rsidP="003C4492">
      <w:pPr>
        <w:pStyle w:val="IntenseQuote"/>
        <w:rPr>
          <w:sz w:val="24"/>
        </w:rPr>
      </w:pPr>
      <w:r w:rsidRPr="00437FB5">
        <w:rPr>
          <w:sz w:val="24"/>
        </w:rPr>
        <w:t>Two in five Australians believe many women exaggerate how unequally women are treated in Australia</w:t>
      </w:r>
      <w:r>
        <w:rPr>
          <w:sz w:val="24"/>
        </w:rPr>
        <w:t xml:space="preserve"> (Webster et al., 2018)</w:t>
      </w:r>
      <w:r w:rsidRPr="00437FB5">
        <w:rPr>
          <w:sz w:val="24"/>
        </w:rPr>
        <w:t xml:space="preserve">. </w:t>
      </w:r>
    </w:p>
    <w:p w14:paraId="65EA6269" w14:textId="2EBFD34C" w:rsidR="003C4492" w:rsidRDefault="003C4492" w:rsidP="003C4492"/>
    <w:p w14:paraId="2DC9EA7E" w14:textId="77777777" w:rsidR="003C4492" w:rsidRPr="00437FB5" w:rsidRDefault="003C4492" w:rsidP="003C4492">
      <w:r w:rsidRPr="00437FB5">
        <w:t xml:space="preserve">The individualisation of violence or the </w:t>
      </w:r>
      <w:r>
        <w:t>focus on</w:t>
      </w:r>
      <w:r w:rsidRPr="00437FB5">
        <w:t xml:space="preserve"> other factors (</w:t>
      </w:r>
      <w:proofErr w:type="gramStart"/>
      <w:r w:rsidRPr="00437FB5">
        <w:t>e.g.</w:t>
      </w:r>
      <w:proofErr w:type="gramEnd"/>
      <w:r w:rsidRPr="00437FB5">
        <w:t xml:space="preserve"> alcohol, mental health) </w:t>
      </w:r>
      <w:r>
        <w:t>as</w:t>
      </w:r>
      <w:r w:rsidRPr="00437FB5">
        <w:t xml:space="preserve"> influencing a perpetrator’s act of violence is often highlighted, downplaying and excusing the violence itself (on the flipside, if a woman is affected by alcohol, drugs or seen as ‘sexually promiscuous’, she is seen to be partly or wholly responsible). Moreover, there is an emphasis on physical and sexual violence compared to other forms of non-physical violence and coercion (</w:t>
      </w:r>
      <w:r>
        <w:t>Sutherland et al.,</w:t>
      </w:r>
      <w:r w:rsidRPr="00437FB5">
        <w:t xml:space="preserve"> 2016). </w:t>
      </w:r>
    </w:p>
    <w:p w14:paraId="3635AE07" w14:textId="77777777" w:rsidR="003C4492" w:rsidRPr="00437FB5" w:rsidRDefault="003C4492" w:rsidP="003C4492"/>
    <w:p w14:paraId="44621C9B" w14:textId="6E9940F1" w:rsidR="003C4492" w:rsidRPr="00437FB5" w:rsidRDefault="003C4492" w:rsidP="003C4492">
      <w:r w:rsidRPr="00437FB5">
        <w:t xml:space="preserve">There is often a degree of disbelief and </w:t>
      </w:r>
      <w:r w:rsidRPr="00437FB5">
        <w:t xml:space="preserve">misunderstanding around what constitutes violence. For example, in a survey conducted across five local government councils in Victoria, 9% of respondents did not consider behaviours outlined in the Victorian </w:t>
      </w:r>
      <w:r w:rsidRPr="00437FB5">
        <w:rPr>
          <w:i/>
          <w:iCs/>
        </w:rPr>
        <w:t>Equal Opportunity Act 2010</w:t>
      </w:r>
      <w:r w:rsidR="002C6A21">
        <w:rPr>
          <w:i/>
          <w:iCs/>
        </w:rPr>
        <w:t xml:space="preserve"> </w:t>
      </w:r>
      <w:r w:rsidR="002C6A21" w:rsidRPr="00C4511B">
        <w:t>(Vic)</w:t>
      </w:r>
      <w:r w:rsidRPr="00437FB5">
        <w:t xml:space="preserve"> to be sexual harassment, including criminal offences such as sexual assault, and 13% said they considered some behaviours, but not all, to be sexual harassment (Victorian Auditor-General’s Office [VAGO]</w:t>
      </w:r>
      <w:r w:rsidRPr="00437FB5" w:rsidDel="00BB4477">
        <w:t xml:space="preserve"> </w:t>
      </w:r>
      <w:r w:rsidRPr="00437FB5">
        <w:t xml:space="preserve">2020, p. 8). </w:t>
      </w:r>
    </w:p>
    <w:p w14:paraId="02F04CE4" w14:textId="77777777" w:rsidR="003C4492" w:rsidRPr="00437FB5" w:rsidRDefault="003C4492" w:rsidP="003C4492"/>
    <w:p w14:paraId="57C26D7D" w14:textId="77777777" w:rsidR="003C4492" w:rsidRPr="00437FB5" w:rsidRDefault="003C4492" w:rsidP="003C4492">
      <w:r w:rsidRPr="00437FB5">
        <w:t>This type of denial can be institutionalised when it is expressed through the power of authorities by conferring legitimacy on some interpretations of experience and denying it to others (</w:t>
      </w:r>
      <w:proofErr w:type="spellStart"/>
      <w:r>
        <w:t>Agócs</w:t>
      </w:r>
      <w:proofErr w:type="spellEnd"/>
      <w:r w:rsidRPr="00437FB5">
        <w:t xml:space="preserve"> 19097, p. 923). </w:t>
      </w:r>
      <w:r>
        <w:t xml:space="preserve">For example, this can be displayed through a ‘he said, she said’ mentality and approach around sexual harassment and gendered violence. </w:t>
      </w:r>
      <w:r w:rsidRPr="00437FB5">
        <w:t>Power and legitimisation exercised in such ways helps establish, change, and enforce rules that contribute to the ‘making sense’ of an institution and organisation. These rules are embedded in institutional and organisational structures and cultures, including “what counts as knowledge, fact and truth and what is to be considered trivial or dismissed as hyperbole, fabrication, exaggerated or unsubstantiated claim” (</w:t>
      </w:r>
      <w:proofErr w:type="spellStart"/>
      <w:r>
        <w:t>Agócs</w:t>
      </w:r>
      <w:proofErr w:type="spellEnd"/>
      <w:r w:rsidRPr="00437FB5">
        <w:t xml:space="preserve"> 1997, p. 923). </w:t>
      </w:r>
    </w:p>
    <w:p w14:paraId="3BEFAED3" w14:textId="36BD8002" w:rsidR="003C4492" w:rsidRPr="00437FB5" w:rsidRDefault="002C6A21" w:rsidP="003C4492">
      <w:r>
        <w:t>R</w:t>
      </w:r>
      <w:r w:rsidRPr="002C6A21">
        <w:t>esearch indicates that gender and prevention advocates express the view that evidence they present can be dismissed, experiences of violence and harassment can be framed as subjective and exaggerated, and statistics on rates of violence against women frequently questioned</w:t>
      </w:r>
      <w:r>
        <w:t xml:space="preserve"> </w:t>
      </w:r>
      <w:r w:rsidRPr="002C6A21">
        <w:t>(</w:t>
      </w:r>
      <w:proofErr w:type="spellStart"/>
      <w:r w:rsidRPr="002C6A21">
        <w:t>Agocs</w:t>
      </w:r>
      <w:proofErr w:type="spellEnd"/>
      <w:r w:rsidRPr="002C6A21">
        <w:t xml:space="preserve"> 1997, p 922). For example, one practitioner</w:t>
      </w:r>
      <w:r>
        <w:t xml:space="preserve"> </w:t>
      </w:r>
      <w:r w:rsidR="003C4492" w:rsidRPr="00437FB5">
        <w:t xml:space="preserve">working in men’s violence against women training and education, described when he was presenting statistics on the rates of family violence in a session, a participant who was a doctor, stated “I don’t believe the statistics. If these stats are real, why aren’t </w:t>
      </w:r>
      <w:r w:rsidR="003C4492" w:rsidRPr="00437FB5">
        <w:lastRenderedPageBreak/>
        <w:t>I seeing these women come into my hospital?” (</w:t>
      </w:r>
      <w:r w:rsidR="003C4492">
        <w:t>Flood et al.</w:t>
      </w:r>
      <w:r w:rsidR="003C4492" w:rsidRPr="00437FB5">
        <w:t>, 2021, p. 8).</w:t>
      </w:r>
    </w:p>
    <w:p w14:paraId="51F2A2A2" w14:textId="46142B15" w:rsidR="003C4492" w:rsidRDefault="003C4492" w:rsidP="003C4492"/>
    <w:p w14:paraId="597B1C0C" w14:textId="77777777" w:rsidR="003C4492" w:rsidRPr="003C4492" w:rsidRDefault="003C4492" w:rsidP="00B01F9C">
      <w:pPr>
        <w:pStyle w:val="ListParagraph"/>
        <w:widowControl/>
        <w:numPr>
          <w:ilvl w:val="0"/>
          <w:numId w:val="16"/>
        </w:numPr>
        <w:autoSpaceDE/>
        <w:autoSpaceDN/>
        <w:spacing w:before="0"/>
        <w:ind w:left="426"/>
        <w:contextualSpacing/>
        <w:rPr>
          <w:b/>
          <w:bCs/>
          <w:i/>
          <w:iCs/>
        </w:rPr>
      </w:pPr>
      <w:r w:rsidRPr="003C4492">
        <w:rPr>
          <w:b/>
          <w:bCs/>
          <w:i/>
          <w:iCs/>
        </w:rPr>
        <w:t>D</w:t>
      </w:r>
      <w:r w:rsidRPr="00437FB5">
        <w:rPr>
          <w:b/>
          <w:bCs/>
          <w:i/>
          <w:iCs/>
        </w:rPr>
        <w:t>enying the legitimacy of the issue by attacking the credibility of the messengers of change by impugning on their motives and marginalising them as a special interest group</w:t>
      </w:r>
      <w:r w:rsidRPr="003C4492">
        <w:rPr>
          <w:b/>
          <w:bCs/>
          <w:i/>
          <w:iCs/>
        </w:rPr>
        <w:t xml:space="preserve">. </w:t>
      </w:r>
    </w:p>
    <w:p w14:paraId="0EC5ADFB" w14:textId="77777777" w:rsidR="003C4492" w:rsidRDefault="003C4492" w:rsidP="003C4492"/>
    <w:p w14:paraId="02EC80C5" w14:textId="2740B4A0" w:rsidR="003C4492" w:rsidRPr="00437FB5" w:rsidRDefault="003C4492" w:rsidP="003C4492">
      <w:r w:rsidRPr="00437FB5">
        <w:t>This consists of personal attacks on change advocates, activists and movements more broadly, used to stigmatise individuals or groups as ‘</w:t>
      </w:r>
      <w:proofErr w:type="gramStart"/>
      <w:r w:rsidRPr="00437FB5">
        <w:t>trouble makers</w:t>
      </w:r>
      <w:proofErr w:type="gramEnd"/>
      <w:r w:rsidRPr="00437FB5">
        <w:t>.’ For example</w:t>
      </w:r>
      <w:r w:rsidR="002C6A21">
        <w:t>,</w:t>
      </w:r>
      <w:r w:rsidRPr="00437FB5">
        <w:t xml:space="preserve"> </w:t>
      </w:r>
      <w:r w:rsidR="002C6A21">
        <w:t>f</w:t>
      </w:r>
      <w:r w:rsidRPr="00437FB5">
        <w:t xml:space="preserve">raming the gendered drivers of violence as ‘extreme’ portrays those who advocate for them as radicals who are being over the top and ‘too sensitive’ (see </w:t>
      </w:r>
      <w:r w:rsidR="002166A0">
        <w:t>pages 43-44</w:t>
      </w:r>
      <w:r w:rsidRPr="00437FB5">
        <w:t xml:space="preserve">). </w:t>
      </w:r>
    </w:p>
    <w:p w14:paraId="24DAA35C" w14:textId="77777777" w:rsidR="003C4492" w:rsidRPr="00437FB5" w:rsidRDefault="003C4492" w:rsidP="003C4492"/>
    <w:p w14:paraId="72B9D4A3" w14:textId="77777777" w:rsidR="003C4492" w:rsidRPr="00437FB5" w:rsidRDefault="003C4492" w:rsidP="00B01F9C">
      <w:pPr>
        <w:pStyle w:val="ListParagraph"/>
        <w:widowControl/>
        <w:numPr>
          <w:ilvl w:val="0"/>
          <w:numId w:val="16"/>
        </w:numPr>
        <w:autoSpaceDE/>
        <w:autoSpaceDN/>
        <w:spacing w:before="0"/>
        <w:ind w:left="426"/>
        <w:contextualSpacing/>
        <w:rPr>
          <w:b/>
          <w:bCs/>
        </w:rPr>
      </w:pPr>
      <w:r w:rsidRPr="003C4492">
        <w:rPr>
          <w:b/>
          <w:bCs/>
          <w:i/>
          <w:iCs/>
        </w:rPr>
        <w:t>Reversing</w:t>
      </w:r>
      <w:r w:rsidRPr="00437FB5">
        <w:rPr>
          <w:b/>
          <w:bCs/>
          <w:i/>
          <w:iCs/>
        </w:rPr>
        <w:t xml:space="preserve"> the problem, adopting a victim position, claiming reverse discrimination.</w:t>
      </w:r>
      <w:r w:rsidRPr="00437FB5">
        <w:rPr>
          <w:b/>
          <w:bCs/>
        </w:rPr>
        <w:t xml:space="preserve"> </w:t>
      </w:r>
    </w:p>
    <w:p w14:paraId="5E1F77B6" w14:textId="77777777" w:rsidR="003C4492" w:rsidRDefault="003C4492" w:rsidP="003C4492"/>
    <w:p w14:paraId="78405CC0" w14:textId="3A372892" w:rsidR="003C4492" w:rsidRPr="00437FB5" w:rsidRDefault="003C4492" w:rsidP="003C4492">
      <w:r w:rsidRPr="00437FB5">
        <w:t xml:space="preserve">As </w:t>
      </w:r>
      <w:proofErr w:type="spellStart"/>
      <w:r>
        <w:t>Agócs</w:t>
      </w:r>
      <w:proofErr w:type="spellEnd"/>
      <w:r w:rsidRPr="00437FB5">
        <w:t xml:space="preserve"> (1997, p. 925) argues, members of dominant groups can resist change initiatives and processes by claiming that these are personal attacks on them, rather than attempts to address systemic and structural issues. This portrays individuals, movements, laws, policies and so on that are seeking change as perpetrators of unfairness, self-interested and vindictive, while those in power are framed as victims and helpless individuals (</w:t>
      </w:r>
      <w:r>
        <w:t xml:space="preserve">see </w:t>
      </w:r>
      <w:r w:rsidR="002166A0">
        <w:t>pages 39-43</w:t>
      </w:r>
      <w:r w:rsidRPr="00437FB5">
        <w:t xml:space="preserve">). </w:t>
      </w:r>
    </w:p>
    <w:p w14:paraId="58333792" w14:textId="77777777" w:rsidR="003C4492" w:rsidRPr="00437FB5" w:rsidRDefault="003C4492" w:rsidP="003C4492"/>
    <w:p w14:paraId="3FE7C5C3" w14:textId="77777777" w:rsidR="003C4492" w:rsidRPr="00437FB5" w:rsidRDefault="003C4492" w:rsidP="003C4492">
      <w:r w:rsidRPr="00437FB5">
        <w:t xml:space="preserve">As an example, in response to the campaign </w:t>
      </w:r>
      <w:r>
        <w:rPr>
          <w:i/>
          <w:iCs/>
        </w:rPr>
        <w:t>Doing Nothing Does Harm,</w:t>
      </w:r>
      <w:r w:rsidRPr="00437FB5">
        <w:t xml:space="preserve"> one Facebook commenter stated “Shouldn’t the title be showing disrespect to men and women. No of course not, men are the over scrutinised, </w:t>
      </w:r>
      <w:proofErr w:type="spellStart"/>
      <w:r w:rsidRPr="00437FB5">
        <w:t>under valued</w:t>
      </w:r>
      <w:proofErr w:type="spellEnd"/>
      <w:r w:rsidRPr="00437FB5">
        <w:t xml:space="preserve"> and most poorly treated people in society these days. Women win the World a long time ago and us men are still getting bashed constantly”. Similarly, there is a tendency to acknowledge women’s experiences of sexual harassment while simultaneously </w:t>
      </w:r>
      <w:r w:rsidRPr="00437FB5">
        <w:t xml:space="preserve">displaying sympathy for perpetrators and the impacts on his career or life, where sexually harassing and discriminatory behaviours in organisations are often symptoms of the broader institutionalisation of condoning of violence against </w:t>
      </w:r>
      <w:r>
        <w:t>women</w:t>
      </w:r>
      <w:r w:rsidRPr="00437FB5">
        <w:t xml:space="preserve">.  </w:t>
      </w:r>
    </w:p>
    <w:p w14:paraId="399AAEFE" w14:textId="77777777" w:rsidR="003C4492" w:rsidRPr="00437FB5" w:rsidRDefault="003C4492" w:rsidP="003C4492"/>
    <w:p w14:paraId="4F4D0695" w14:textId="4A673614" w:rsidR="003C4492" w:rsidRDefault="003C4492" w:rsidP="003C4492">
      <w:r w:rsidRPr="00437FB5">
        <w:t xml:space="preserve">In summary, denial of the problem of violence against women ranges from discrediting and undercutting women’s experiences and dismissing and downplaying the extent of violence against women. </w:t>
      </w:r>
      <w:r>
        <w:t xml:space="preserve">It is pervasive and exhibited by a range of individuals, </w:t>
      </w:r>
      <w:proofErr w:type="gramStart"/>
      <w:r>
        <w:t>organisations</w:t>
      </w:r>
      <w:proofErr w:type="gramEnd"/>
      <w:r>
        <w:t xml:space="preserve"> and institutions. </w:t>
      </w:r>
    </w:p>
    <w:p w14:paraId="291D0CB5" w14:textId="0FF7C48F" w:rsidR="00FF1EC0" w:rsidRPr="001568F2" w:rsidRDefault="003C4492" w:rsidP="00552703">
      <w:pPr>
        <w:pStyle w:val="Heading2"/>
      </w:pPr>
      <w:bookmarkStart w:id="55" w:name="_Toc85620726"/>
      <w:bookmarkStart w:id="56" w:name="_Toc87526313"/>
      <w:r>
        <w:t>Disavowal</w:t>
      </w:r>
      <w:bookmarkEnd w:id="55"/>
      <w:bookmarkEnd w:id="56"/>
    </w:p>
    <w:p w14:paraId="1986E84D" w14:textId="2729DE9A" w:rsidR="003B0DC1" w:rsidRPr="003B0DC1" w:rsidRDefault="003C4492">
      <w:r w:rsidRPr="00437FB5">
        <w:t xml:space="preserve">Disavowal, which overlaps with denial, is the refusal to support or accept responsibility for dealing with </w:t>
      </w:r>
      <w:r>
        <w:t>endemic nature of violence against women</w:t>
      </w:r>
      <w:r w:rsidRPr="00437FB5">
        <w:t xml:space="preserve"> (Flood et al., 2018).</w:t>
      </w:r>
      <w:r w:rsidRPr="00437FB5">
        <w:rPr>
          <w:color w:val="000000" w:themeColor="text1"/>
        </w:rPr>
        <w:t xml:space="preserve"> </w:t>
      </w:r>
      <w:r w:rsidRPr="00437FB5">
        <w:t>Common practices of disavowal include phrases like “It is not my problem”, “I’m not responsible as I didn’t create it” or “it’s up to others (</w:t>
      </w:r>
      <w:r>
        <w:t>individuals, women, victims</w:t>
      </w:r>
      <w:r w:rsidRPr="00437FB5">
        <w:t>) to fix it”. In a survey conducted for the Sexual Harassment in Local Government report</w:t>
      </w:r>
      <w:r w:rsidR="003B0DC1">
        <w:t xml:space="preserve"> </w:t>
      </w:r>
      <w:r w:rsidR="003B0DC1" w:rsidRPr="003B0DC1">
        <w:t>(Victorian Auditor-General's Office [VAGO] 2020, p.44)</w:t>
      </w:r>
      <w:r w:rsidRPr="00437FB5">
        <w:t xml:space="preserve">, looking at five Victorian councils, one respondent stated, </w:t>
      </w:r>
      <w:r w:rsidRPr="00027F4C">
        <w:t>“</w:t>
      </w:r>
      <w:r w:rsidR="003B0DC1" w:rsidRPr="00C4511B">
        <w:t>o</w:t>
      </w:r>
      <w:r w:rsidRPr="00027F4C">
        <w:t>nly ladies should be worried about sexual harassment</w:t>
      </w:r>
      <w:r w:rsidR="000D7FA6" w:rsidRPr="003B0DC1">
        <w:t>…</w:t>
      </w:r>
      <w:r w:rsidR="002C6A21" w:rsidRPr="003B0DC1">
        <w:t>L</w:t>
      </w:r>
      <w:r w:rsidRPr="003B0DC1">
        <w:t xml:space="preserve">adies should behave themselves [with] propriety to avoid sexual harassment” (VAGO 2020, p. 44). </w:t>
      </w:r>
    </w:p>
    <w:p w14:paraId="47AA2466" w14:textId="77777777" w:rsidR="003B0DC1" w:rsidRDefault="003B0DC1" w:rsidP="003C4492"/>
    <w:p w14:paraId="11AEDAF0" w14:textId="678A8200" w:rsidR="003C4492" w:rsidRPr="00437FB5" w:rsidRDefault="003C4492" w:rsidP="003C4492">
      <w:proofErr w:type="gramStart"/>
      <w:r w:rsidRPr="00437FB5">
        <w:t>Similar to</w:t>
      </w:r>
      <w:proofErr w:type="gramEnd"/>
      <w:r w:rsidRPr="00437FB5">
        <w:t xml:space="preserve"> denial in the form of victim blaming, it places the onus of change on those marginalised groups who experience disproportionate levels of gendered and intersectional forms of violence. This is despite the relative lack of power and access to decision-making that these groups enjoy, compared to cis-normative heterosexual white men that overwhelmingly benefit from patriarchal </w:t>
      </w:r>
      <w:r w:rsidRPr="00437FB5">
        <w:lastRenderedPageBreak/>
        <w:t xml:space="preserve">social, </w:t>
      </w:r>
      <w:proofErr w:type="gramStart"/>
      <w:r w:rsidRPr="00437FB5">
        <w:t>political</w:t>
      </w:r>
      <w:proofErr w:type="gramEnd"/>
      <w:r w:rsidRPr="00437FB5">
        <w:t xml:space="preserve"> and economic structures</w:t>
      </w:r>
      <w:r>
        <w:t xml:space="preserve">, as discussed </w:t>
      </w:r>
      <w:r w:rsidR="002166A0">
        <w:t>on pages 12-17</w:t>
      </w:r>
      <w:r w:rsidRPr="00437FB5">
        <w:t xml:space="preserve">. </w:t>
      </w:r>
    </w:p>
    <w:p w14:paraId="7C11DE15" w14:textId="77777777" w:rsidR="003C4492" w:rsidRPr="00437FB5" w:rsidRDefault="003C4492" w:rsidP="003C4492"/>
    <w:p w14:paraId="60615DD0" w14:textId="77777777" w:rsidR="003C4492" w:rsidRDefault="003C4492" w:rsidP="003C4492">
      <w:r w:rsidRPr="00437FB5">
        <w:t>Disavowal is not recognising that gender inequality is a structural and systemic problem. When gender is downplayed or completely disavowed based on an individual’s personal life or attitudes, because a woman may “have never detected a gender problem” or “haven’t ever experienced actual sexism”, the structural elements of gender and other inequalities are decoupled from personal experiences (Gill</w:t>
      </w:r>
      <w:r>
        <w:t>, Kelan and Scharff</w:t>
      </w:r>
      <w:r w:rsidRPr="00437FB5">
        <w:t xml:space="preserve">, 2017, p. 234). </w:t>
      </w:r>
    </w:p>
    <w:p w14:paraId="740FD5CB" w14:textId="77777777" w:rsidR="003C4492" w:rsidRDefault="003C4492" w:rsidP="003C4492"/>
    <w:p w14:paraId="36AB1EF9" w14:textId="77777777" w:rsidR="003C4492" w:rsidRDefault="003C4492" w:rsidP="003C4492">
      <w:r w:rsidRPr="00437FB5">
        <w:t>As shown by Gill</w:t>
      </w:r>
      <w:r>
        <w:t>, K</w:t>
      </w:r>
      <w:r w:rsidRPr="00437FB5">
        <w:t>elan</w:t>
      </w:r>
      <w:r>
        <w:t xml:space="preserve"> and Scharff</w:t>
      </w:r>
      <w:r w:rsidRPr="00437FB5">
        <w:t xml:space="preserve"> (2017, p. 241), this produces a paradox where despite continuing gender inequalities in organisations such as workplaces characterised by pay, status and career opportunities, gender is frequently </w:t>
      </w:r>
      <w:r>
        <w:t>excused</w:t>
      </w:r>
      <w:r w:rsidRPr="00437FB5">
        <w:t xml:space="preserve"> as a relevant factor. Inequalities are acknowledged or historicised, but the need for </w:t>
      </w:r>
      <w:r>
        <w:t xml:space="preserve">current and </w:t>
      </w:r>
      <w:r w:rsidRPr="00437FB5">
        <w:t xml:space="preserve">structural change is disavowed (Gill </w:t>
      </w:r>
      <w:r>
        <w:t>et al.</w:t>
      </w:r>
      <w:r w:rsidRPr="00437FB5">
        <w:t>, 2017, p. 234).</w:t>
      </w:r>
    </w:p>
    <w:p w14:paraId="5861B804" w14:textId="77777777" w:rsidR="003C4492" w:rsidRDefault="003C4492" w:rsidP="003C4492"/>
    <w:p w14:paraId="37DD5CE7" w14:textId="77777777" w:rsidR="003C4492" w:rsidRPr="00914BB8" w:rsidRDefault="003C4492" w:rsidP="003C4492">
      <w:pPr>
        <w:pStyle w:val="IntenseQuote"/>
        <w:rPr>
          <w:sz w:val="24"/>
        </w:rPr>
      </w:pPr>
      <w:r w:rsidRPr="00914BB8">
        <w:rPr>
          <w:sz w:val="24"/>
        </w:rPr>
        <w:t>#HowIWillChange I won’t because like most men I don’t harass women and we don’t live in a rape culture. Women stop manufacturing oppression</w:t>
      </w:r>
    </w:p>
    <w:p w14:paraId="4241CF87" w14:textId="77777777" w:rsidR="003C4492" w:rsidRPr="00914BB8" w:rsidRDefault="003C4492" w:rsidP="003C4492">
      <w:pPr>
        <w:pStyle w:val="IntenseQuote"/>
        <w:rPr>
          <w:sz w:val="24"/>
        </w:rPr>
      </w:pPr>
      <w:r w:rsidRPr="00914BB8">
        <w:rPr>
          <w:sz w:val="24"/>
        </w:rPr>
        <w:t xml:space="preserve">#HowIWillChange I will not. This “culture” that women have created doesn’t exist. It’s fake. Catcalling isn’t rape </w:t>
      </w:r>
    </w:p>
    <w:p w14:paraId="71C33E10" w14:textId="77777777" w:rsidR="003C4492" w:rsidRPr="00914BB8" w:rsidRDefault="003C4492" w:rsidP="003C4492">
      <w:pPr>
        <w:pStyle w:val="IntenseQuote"/>
        <w:rPr>
          <w:sz w:val="24"/>
        </w:rPr>
      </w:pPr>
      <w:r w:rsidRPr="00914BB8">
        <w:rPr>
          <w:sz w:val="24"/>
        </w:rPr>
        <w:t xml:space="preserve">#HowIWillChange I will not. You people whine too much. There isn’t a rape culture. It doesn’t exist. </w:t>
      </w:r>
    </w:p>
    <w:p w14:paraId="6A30EBB6" w14:textId="77777777" w:rsidR="003C4492" w:rsidRPr="00914BB8" w:rsidRDefault="003C4492" w:rsidP="003C4492">
      <w:pPr>
        <w:pStyle w:val="IntenseQuote"/>
        <w:rPr>
          <w:sz w:val="24"/>
        </w:rPr>
      </w:pPr>
      <w:r w:rsidRPr="00914BB8">
        <w:rPr>
          <w:sz w:val="24"/>
        </w:rPr>
        <w:t>- Petty et al., 2018</w:t>
      </w:r>
    </w:p>
    <w:p w14:paraId="7641C350" w14:textId="77777777" w:rsidR="00B56147" w:rsidRDefault="003C4492" w:rsidP="003C4492">
      <w:r>
        <w:t>A</w:t>
      </w:r>
      <w:r w:rsidRPr="00437FB5">
        <w:t xml:space="preserve">nother example of disavowal can be seen in responses to the #HowIWillChange hashtag that emerged in response to #MeToo. Launched by an Australian journalist, Benjamin Law, the hashtag prompted individuals to think about how </w:t>
      </w:r>
      <w:r w:rsidRPr="00437FB5">
        <w:t>they can change in response to endemic sexual harassment and rape culture, one that supports or excuses sexual assault. Through a sample of 3,182 original tweets, the authors used content analysis to systematically identify prominent themes in the Twitter data</w:t>
      </w:r>
      <w:r>
        <w:t xml:space="preserve"> (Petty et al., 2018)</w:t>
      </w:r>
      <w:r w:rsidRPr="00437FB5">
        <w:t xml:space="preserve">. One theme was indignant resistance to social change meaning the users did not deny that sexual assault occurred, or that women face mistreatment in society, but they emphasised that they should not be held responsible or be called to </w:t>
      </w:r>
      <w:proofErr w:type="gramStart"/>
      <w:r w:rsidRPr="00437FB5">
        <w:t>take action</w:t>
      </w:r>
      <w:proofErr w:type="gramEnd"/>
      <w:r w:rsidRPr="00437FB5">
        <w:t xml:space="preserve"> for violence or disrespect which they do not believe they have committed. </w:t>
      </w:r>
    </w:p>
    <w:p w14:paraId="0BFEAA47" w14:textId="77777777" w:rsidR="00B56147" w:rsidRDefault="00B56147" w:rsidP="003C4492"/>
    <w:p w14:paraId="72900F33" w14:textId="53EED217" w:rsidR="003C4492" w:rsidRPr="00437FB5" w:rsidRDefault="003C4492" w:rsidP="003C4492">
      <w:r w:rsidRPr="00437FB5">
        <w:t xml:space="preserve">This manifested in several subthemes, including </w:t>
      </w:r>
      <w:r>
        <w:t>#</w:t>
      </w:r>
      <w:r w:rsidRPr="00437FB5">
        <w:t>NotAllMen (See Highlight Box 3) as well as benevolent sexist attitudes which reinforced patriarchal ideals in the form of the ‘protection’ of women as the antidote to sexual assault. Users who appeared to identify as women supported this narrative as well, specifically “not all men”. Overall, users were indignant that they were asked to account for the ways in which they are complicit in the gendered drivers of violence against women.</w:t>
      </w:r>
    </w:p>
    <w:p w14:paraId="47430E80" w14:textId="593C8268" w:rsidR="003C4492" w:rsidRDefault="003C4492" w:rsidP="003C4492"/>
    <w:p w14:paraId="127662D9" w14:textId="6B1FA5D1" w:rsidR="00B56147" w:rsidRPr="00437FB5" w:rsidRDefault="00B56147" w:rsidP="00B56147">
      <w:r w:rsidRPr="00437FB5">
        <w:rPr>
          <w:lang w:eastAsia="en-GB"/>
        </w:rPr>
        <w:t xml:space="preserve">Petty et al., </w:t>
      </w:r>
      <w:r w:rsidR="001E4FE3">
        <w:rPr>
          <w:lang w:eastAsia="en-GB"/>
        </w:rPr>
        <w:t xml:space="preserve">suggest </w:t>
      </w:r>
      <w:r w:rsidRPr="00437FB5">
        <w:rPr>
          <w:lang w:eastAsia="en-GB"/>
        </w:rPr>
        <w:t xml:space="preserve">(2018, p. 2) such attitudes rely on women to convince men to change: those who </w:t>
      </w:r>
      <w:r w:rsidR="001E4FE3">
        <w:rPr>
          <w:lang w:eastAsia="en-GB"/>
        </w:rPr>
        <w:t xml:space="preserve">are more likely to experience </w:t>
      </w:r>
      <w:r w:rsidRPr="00437FB5">
        <w:rPr>
          <w:lang w:eastAsia="en-GB"/>
        </w:rPr>
        <w:t>discrimination and oppression</w:t>
      </w:r>
      <w:r w:rsidR="00D83BF7">
        <w:rPr>
          <w:lang w:eastAsia="en-GB"/>
        </w:rPr>
        <w:t xml:space="preserve"> </w:t>
      </w:r>
      <w:r>
        <w:rPr>
          <w:lang w:eastAsia="en-GB"/>
        </w:rPr>
        <w:t xml:space="preserve">—which </w:t>
      </w:r>
      <w:r w:rsidRPr="00437FB5">
        <w:rPr>
          <w:lang w:eastAsia="en-GB"/>
        </w:rPr>
        <w:t>in th</w:t>
      </w:r>
      <w:r>
        <w:rPr>
          <w:lang w:eastAsia="en-GB"/>
        </w:rPr>
        <w:t>e context of</w:t>
      </w:r>
      <w:r w:rsidRPr="00437FB5">
        <w:rPr>
          <w:lang w:eastAsia="en-GB"/>
        </w:rPr>
        <w:t xml:space="preserve"> rape culture</w:t>
      </w:r>
      <w:r>
        <w:rPr>
          <w:lang w:eastAsia="en-GB"/>
        </w:rPr>
        <w:t xml:space="preserve"> is women—</w:t>
      </w:r>
      <w:r w:rsidR="00D83BF7">
        <w:rPr>
          <w:lang w:eastAsia="en-GB"/>
        </w:rPr>
        <w:t xml:space="preserve"> </w:t>
      </w:r>
      <w:r>
        <w:rPr>
          <w:lang w:eastAsia="en-GB"/>
        </w:rPr>
        <w:t>a</w:t>
      </w:r>
      <w:r w:rsidRPr="00437FB5">
        <w:rPr>
          <w:lang w:eastAsia="en-GB"/>
        </w:rPr>
        <w:t xml:space="preserve">re expected to be able to influence those who are privileged (men) in this dynamic. </w:t>
      </w:r>
      <w:r w:rsidRPr="00437FB5">
        <w:t xml:space="preserve">This points to the need for and responsibility of men to engage in the change process, to challenge dominant forms of masculinities that contribute to the drivers of violence against women as well as other forms of family violence, and to challenge the gendered norms, practices and structures that sustain these. </w:t>
      </w:r>
    </w:p>
    <w:p w14:paraId="62BAED21" w14:textId="77777777" w:rsidR="00B56147" w:rsidRPr="00437FB5" w:rsidRDefault="00B56147" w:rsidP="00B56147"/>
    <w:p w14:paraId="38280413" w14:textId="77777777" w:rsidR="00B56147" w:rsidRPr="00437FB5" w:rsidRDefault="00B56147" w:rsidP="00B56147">
      <w:r w:rsidRPr="00437FB5">
        <w:rPr>
          <w:color w:val="000000" w:themeColor="text1"/>
        </w:rPr>
        <w:t xml:space="preserve">Disavowal is </w:t>
      </w:r>
      <w:r>
        <w:rPr>
          <w:color w:val="000000" w:themeColor="text1"/>
        </w:rPr>
        <w:t xml:space="preserve">also </w:t>
      </w:r>
      <w:r w:rsidRPr="00437FB5">
        <w:rPr>
          <w:color w:val="000000" w:themeColor="text1"/>
        </w:rPr>
        <w:t>used as an excuse to avoid responsibility for participating in change</w:t>
      </w:r>
      <w:r w:rsidRPr="00437FB5">
        <w:t xml:space="preserve">. One practitioner implementing a </w:t>
      </w:r>
      <w:r w:rsidRPr="00437FB5">
        <w:lastRenderedPageBreak/>
        <w:t>pilot program on primary prevention education in the Vocational Educational and Training setting described the resistance she faced with regards to the gendered drivers of violence. The department which represented a male-dominated sector in terms of students, educators and in practice, was supportive of addressing family violence; however, during the training, the participants became resistant to the explanations of the gendered drivers of violence. As the practitioner describes:</w:t>
      </w:r>
    </w:p>
    <w:p w14:paraId="0833263A" w14:textId="1957CCA6" w:rsidR="00B56147" w:rsidRPr="00C17070" w:rsidRDefault="00B56147" w:rsidP="00C17070">
      <w:pPr>
        <w:spacing w:before="120" w:after="120"/>
        <w:ind w:left="284" w:right="522"/>
        <w:rPr>
          <w:rFonts w:eastAsia="Times New Roman" w:cs="Times New Roman"/>
          <w:i/>
          <w:iCs/>
          <w:color w:val="000000" w:themeColor="text1"/>
          <w:lang w:eastAsia="en-GB"/>
        </w:rPr>
      </w:pPr>
      <w:r w:rsidRPr="00C17070">
        <w:rPr>
          <w:rFonts w:eastAsia="Times New Roman" w:cs="Times New Roman"/>
          <w:i/>
          <w:iCs/>
          <w:color w:val="000000" w:themeColor="text1"/>
          <w:lang w:eastAsia="en-GB"/>
        </w:rPr>
        <w:t xml:space="preserve">I've got to say after the workshop I received </w:t>
      </w:r>
      <w:proofErr w:type="gramStart"/>
      <w:r w:rsidRPr="00C17070">
        <w:rPr>
          <w:rFonts w:eastAsia="Times New Roman" w:cs="Times New Roman"/>
          <w:i/>
          <w:iCs/>
          <w:color w:val="000000" w:themeColor="text1"/>
          <w:lang w:eastAsia="en-GB"/>
        </w:rPr>
        <w:t>really negative</w:t>
      </w:r>
      <w:proofErr w:type="gramEnd"/>
      <w:r w:rsidRPr="00C17070">
        <w:rPr>
          <w:rFonts w:eastAsia="Times New Roman" w:cs="Times New Roman"/>
          <w:i/>
          <w:iCs/>
          <w:color w:val="000000" w:themeColor="text1"/>
          <w:lang w:eastAsia="en-GB"/>
        </w:rPr>
        <w:t xml:space="preserve"> feedback and that was the only all male group we ran which I found very interesting…I found it weird because that Department has been one of the biggest supporters I've had since I started this pilot. I think it's the ‘I want to help change the world but the way you're telling me that we need to change it is … you know, people don't necessarily believe in it, and I suppose [don’t] understand it’. I only found out through their manager, [the participants] didn't fill out any of the evaluation forms. He </w:t>
      </w:r>
      <w:proofErr w:type="gramStart"/>
      <w:r w:rsidRPr="00C17070">
        <w:rPr>
          <w:rFonts w:eastAsia="Times New Roman" w:cs="Times New Roman"/>
          <w:i/>
          <w:iCs/>
          <w:color w:val="000000" w:themeColor="text1"/>
          <w:lang w:eastAsia="en-GB"/>
        </w:rPr>
        <w:t>said</w:t>
      </w:r>
      <w:proofErr w:type="gramEnd"/>
      <w:r w:rsidRPr="00C17070">
        <w:rPr>
          <w:rFonts w:eastAsia="Times New Roman" w:cs="Times New Roman"/>
          <w:i/>
          <w:iCs/>
          <w:color w:val="000000" w:themeColor="text1"/>
          <w:lang w:eastAsia="en-GB"/>
        </w:rPr>
        <w:t xml:space="preserve"> ‘look I want to give you feedback that I'm getting off my workers [who attended the training]’. He said they felt it was unfair and the way it was put across really put the audience off. There was one of the managers whose daughter had actually [experienced] a domestic violence situation with their partner, and he thought I really need to support this. He still [thought] the way that the gendered drivers were put across … was very off putting for men… I asked him to get them to fill out feedback forms and they wouldn't. </w:t>
      </w:r>
      <w:r w:rsidRPr="00C17070">
        <w:rPr>
          <w:rFonts w:eastAsia="Times New Roman" w:cs="Times New Roman"/>
          <w:i/>
          <w:iCs/>
          <w:color w:val="000000" w:themeColor="text1"/>
          <w:lang w:eastAsia="en-GB"/>
        </w:rPr>
        <w:t xml:space="preserve">They actually just said look we don't want </w:t>
      </w:r>
      <w:proofErr w:type="gramStart"/>
      <w:r w:rsidRPr="00C17070">
        <w:rPr>
          <w:rFonts w:eastAsia="Times New Roman" w:cs="Times New Roman"/>
          <w:i/>
          <w:iCs/>
          <w:color w:val="000000" w:themeColor="text1"/>
          <w:lang w:eastAsia="en-GB"/>
        </w:rPr>
        <w:t>to,</w:t>
      </w:r>
      <w:proofErr w:type="gramEnd"/>
      <w:r w:rsidRPr="00C17070">
        <w:rPr>
          <w:rFonts w:eastAsia="Times New Roman" w:cs="Times New Roman"/>
          <w:i/>
          <w:iCs/>
          <w:color w:val="000000" w:themeColor="text1"/>
          <w:lang w:eastAsia="en-GB"/>
        </w:rPr>
        <w:t xml:space="preserve"> we don't feel comfortable doing it. They said they didn't feel comfortable [during] that workshop either.</w:t>
      </w:r>
      <w:r w:rsidRPr="00C4511B">
        <w:rPr>
          <w:rFonts w:eastAsia="Times New Roman" w:cs="Times New Roman"/>
          <w:i/>
          <w:iCs/>
          <w:color w:val="000000" w:themeColor="text1"/>
          <w:sz w:val="18"/>
          <w:szCs w:val="16"/>
          <w:lang w:eastAsia="en-GB"/>
        </w:rPr>
        <w:footnoteReference w:id="9"/>
      </w:r>
    </w:p>
    <w:p w14:paraId="1CCC4415" w14:textId="5852ABE2" w:rsidR="001E4FE3" w:rsidRDefault="00B56147" w:rsidP="00B56147">
      <w:r w:rsidRPr="00437FB5">
        <w:rPr>
          <w:color w:val="000000" w:themeColor="text1"/>
        </w:rPr>
        <w:t xml:space="preserve">Disavowal </w:t>
      </w:r>
      <w:r w:rsidRPr="00437FB5">
        <w:t xml:space="preserve">can be especially useful to explore as a form of institutional resistance, which often takes the form of </w:t>
      </w:r>
      <w:r>
        <w:t>‘</w:t>
      </w:r>
      <w:r w:rsidRPr="00437FB5">
        <w:t>passing the buck</w:t>
      </w:r>
      <w:r>
        <w:t>’</w:t>
      </w:r>
      <w:r w:rsidRPr="00437FB5">
        <w:t xml:space="preserve"> onto other institutions or policy frameworks. For example, organisational responses based on the claim that ‘gender equality is a </w:t>
      </w:r>
      <w:r w:rsidR="001E4FE3">
        <w:t>g</w:t>
      </w:r>
      <w:r w:rsidRPr="00437FB5">
        <w:t xml:space="preserve">overnment or legislative responsibility, not ours.’ </w:t>
      </w:r>
    </w:p>
    <w:p w14:paraId="737DF55F" w14:textId="77777777" w:rsidR="001E4FE3" w:rsidRDefault="001E4FE3" w:rsidP="00B56147"/>
    <w:p w14:paraId="1A0D342A" w14:textId="453CD002" w:rsidR="0029240B" w:rsidRDefault="00B56147" w:rsidP="00B56147">
      <w:r w:rsidRPr="00437FB5">
        <w:t xml:space="preserve">While it is often assumed that male dominated institutions are the most resistant, this fails to </w:t>
      </w:r>
      <w:proofErr w:type="gramStart"/>
      <w:r w:rsidRPr="00437FB5">
        <w:t>take into account</w:t>
      </w:r>
      <w:proofErr w:type="gramEnd"/>
      <w:r w:rsidRPr="00437FB5">
        <w:t xml:space="preserve"> the dynamics of decision-making and composition of leadership within female-dominated institutions. </w:t>
      </w:r>
      <w:r>
        <w:t>For example, e</w:t>
      </w:r>
      <w:r w:rsidRPr="00437FB5">
        <w:t xml:space="preserve">ducation in Australia is a female dominated sector where 81.9% of primary school teachers and 61.1% secondary school teachers are female (ABS 2021). </w:t>
      </w:r>
    </w:p>
    <w:p w14:paraId="4B0FF48D" w14:textId="77777777" w:rsidR="00927F49" w:rsidRDefault="00927F49" w:rsidP="00B56147"/>
    <w:p w14:paraId="47D90C8B" w14:textId="4E44F5EF" w:rsidR="00B56147" w:rsidRDefault="00B56147" w:rsidP="00B56147">
      <w:r w:rsidRPr="00437FB5">
        <w:t xml:space="preserve">Although female leadership in schools </w:t>
      </w:r>
      <w:r>
        <w:t>i</w:t>
      </w:r>
      <w:r w:rsidRPr="00437FB5">
        <w:t>s increasing and the education sector shows promising signs of progress towards gender equality, men continue to disproportionately dominate leadership positions compare</w:t>
      </w:r>
      <w:r w:rsidR="00D83BF7">
        <w:t>d</w:t>
      </w:r>
      <w:r w:rsidRPr="00437FB5">
        <w:t xml:space="preserve"> </w:t>
      </w:r>
      <w:r>
        <w:t xml:space="preserve">to women, </w:t>
      </w:r>
      <w:r w:rsidRPr="00437FB5">
        <w:t>comprising 60 per cent of school principals (McGrath 2020; Our Watch 2021</w:t>
      </w:r>
      <w:r>
        <w:t>a</w:t>
      </w:r>
      <w:r w:rsidRPr="00437FB5">
        <w:t xml:space="preserve">, p.13). </w:t>
      </w:r>
    </w:p>
    <w:p w14:paraId="6CC31187" w14:textId="77777777" w:rsidR="00B56147" w:rsidRDefault="00B56147" w:rsidP="00B56147"/>
    <w:p w14:paraId="4E8FF5AA" w14:textId="77777777" w:rsidR="00B56147" w:rsidRDefault="00B56147" w:rsidP="00B56147">
      <w:r w:rsidRPr="00437FB5">
        <w:t>Organisational cultures are unique but are still informed by gender stereotypes and constructions of masculinity (including ideas about who makes a good leader) and femininity (including ideas about who should take up caring responsibilities). As in any setting and workplace, female and LGBTIQ teachers can experience violence from colleagues but also students, parents, and wider community members (Our Watch 2021</w:t>
      </w:r>
      <w:r>
        <w:t>a</w:t>
      </w:r>
      <w:r w:rsidRPr="00437FB5">
        <w:t>; A</w:t>
      </w:r>
      <w:r>
        <w:t xml:space="preserve">ustralian </w:t>
      </w:r>
      <w:r w:rsidRPr="00437FB5">
        <w:t>H</w:t>
      </w:r>
      <w:r>
        <w:t xml:space="preserve">uman </w:t>
      </w:r>
      <w:r w:rsidRPr="00437FB5">
        <w:t>R</w:t>
      </w:r>
      <w:r>
        <w:t xml:space="preserve">ights </w:t>
      </w:r>
      <w:r w:rsidRPr="00437FB5">
        <w:lastRenderedPageBreak/>
        <w:t>C</w:t>
      </w:r>
      <w:r>
        <w:t>ommission [AHRC]</w:t>
      </w:r>
      <w:r w:rsidRPr="00437FB5">
        <w:t xml:space="preserve"> 2020). One practitioner found that in their work with schools, there is a prevailing attitude that if the violence isn’t perpetrated by a colleague, female teachers </w:t>
      </w:r>
      <w:proofErr w:type="gramStart"/>
      <w:r w:rsidRPr="00437FB5">
        <w:t>have to</w:t>
      </w:r>
      <w:proofErr w:type="gramEnd"/>
      <w:r w:rsidRPr="00437FB5">
        <w:t xml:space="preserve"> “put up with it”. </w:t>
      </w:r>
    </w:p>
    <w:p w14:paraId="2FF186C8" w14:textId="77777777" w:rsidR="001E4FE3" w:rsidRDefault="001E4FE3" w:rsidP="00B56147"/>
    <w:p w14:paraId="12844A80" w14:textId="2AFFE5C5" w:rsidR="00B56147" w:rsidRDefault="00B56147" w:rsidP="00B56147">
      <w:r w:rsidRPr="00437FB5">
        <w:t xml:space="preserve">The example given was </w:t>
      </w:r>
      <w:r>
        <w:t xml:space="preserve">of </w:t>
      </w:r>
      <w:r w:rsidRPr="00437FB5">
        <w:t>a female teacher being harassed by male students (15/16 years old), who were physically intimidating her in a</w:t>
      </w:r>
      <w:r>
        <w:t xml:space="preserve"> school</w:t>
      </w:r>
      <w:r w:rsidRPr="00437FB5">
        <w:t xml:space="preserve"> playground. </w:t>
      </w:r>
      <w:r>
        <w:t>W</w:t>
      </w:r>
      <w:r w:rsidRPr="00437FB5">
        <w:t>hen the teacher told the principal</w:t>
      </w:r>
      <w:r w:rsidRPr="00165512">
        <w:t xml:space="preserve"> </w:t>
      </w:r>
      <w:r w:rsidRPr="00437FB5">
        <w:t>she was told “she can’t handle the students”</w:t>
      </w:r>
      <w:r>
        <w:t xml:space="preserve"> r</w:t>
      </w:r>
      <w:r w:rsidRPr="00437FB5">
        <w:t>ather than the students being reprimanded for their behaviou</w:t>
      </w:r>
      <w:r>
        <w:t>r.</w:t>
      </w:r>
      <w:r>
        <w:rPr>
          <w:rStyle w:val="FootnoteReference"/>
        </w:rPr>
        <w:footnoteReference w:id="10"/>
      </w:r>
      <w:r>
        <w:t xml:space="preserve"> T</w:t>
      </w:r>
      <w:r w:rsidRPr="00437FB5">
        <w:t xml:space="preserve">he principal </w:t>
      </w:r>
      <w:r>
        <w:t xml:space="preserve">is disavowing organisational (the school’s) </w:t>
      </w:r>
      <w:r w:rsidRPr="00437FB5">
        <w:t xml:space="preserve">responsibility to prevent and respond to such behaviour. Despite the education sector being female dominated, this does </w:t>
      </w:r>
      <w:r w:rsidRPr="00437FB5">
        <w:t>not</w:t>
      </w:r>
      <w:r w:rsidR="001D1199">
        <w:t xml:space="preserve"> necessarily</w:t>
      </w:r>
      <w:r w:rsidRPr="00437FB5">
        <w:t xml:space="preserve"> result in reduced levels of gendered violence or increased understanding of gender. Rather, it is a systemic issue of </w:t>
      </w:r>
      <w:r w:rsidRPr="00437FB5">
        <w:rPr>
          <w:i/>
          <w:iCs/>
        </w:rPr>
        <w:t xml:space="preserve">who </w:t>
      </w:r>
      <w:r w:rsidRPr="00437FB5">
        <w:t xml:space="preserve">are in positions of power that can decide on institutional responsibility and change to address the gendered drivers of violence against </w:t>
      </w:r>
      <w:r w:rsidR="00927F49">
        <w:t>w</w:t>
      </w:r>
      <w:r w:rsidRPr="00437FB5">
        <w:t xml:space="preserve">omen.  </w:t>
      </w:r>
    </w:p>
    <w:p w14:paraId="782ADE0C" w14:textId="77777777" w:rsidR="00B56147" w:rsidRDefault="00B56147" w:rsidP="00B56147"/>
    <w:p w14:paraId="1F95727D" w14:textId="77777777" w:rsidR="00B56147" w:rsidRDefault="00B56147" w:rsidP="00B56147">
      <w:r>
        <w:t>Therefore, disavowal can consist of individual and institutional apathy towards gendered violence, not seeing their role to play in prevention. It can be the dismissal of personal and institutional responsibility to self-reflect on the gendered drivers of violence, and reduce violence against women to individual actions, and therefore responsibilities, only.</w:t>
      </w:r>
    </w:p>
    <w:p w14:paraId="6311F31B" w14:textId="5FCC7D46" w:rsidR="001E4FE3" w:rsidRDefault="001E4FE3">
      <w:r>
        <w:br w:type="page"/>
      </w:r>
    </w:p>
    <w:p w14:paraId="42EEBF5F" w14:textId="77777777" w:rsidR="004D7F28" w:rsidRDefault="004D7F28" w:rsidP="003C4492">
      <w:pPr>
        <w:sectPr w:rsidR="004D7F28" w:rsidSect="005B0690">
          <w:type w:val="continuous"/>
          <w:pgSz w:w="11900" w:h="16850"/>
          <w:pgMar w:top="1340" w:right="1060" w:bottom="1020" w:left="860" w:header="567" w:footer="824" w:gutter="0"/>
          <w:cols w:num="2" w:space="720"/>
          <w:docGrid w:linePitch="299"/>
        </w:sectPr>
      </w:pPr>
    </w:p>
    <w:tbl>
      <w:tblPr>
        <w:tblStyle w:val="TableGrid"/>
        <w:tblW w:w="10348" w:type="dxa"/>
        <w:tblInd w:w="-157" w:type="dxa"/>
        <w:tblLook w:val="04A0" w:firstRow="1" w:lastRow="0" w:firstColumn="1" w:lastColumn="0" w:noHBand="0" w:noVBand="1"/>
      </w:tblPr>
      <w:tblGrid>
        <w:gridCol w:w="10348"/>
      </w:tblGrid>
      <w:tr w:rsidR="004D7F28" w:rsidRPr="00437FB5" w14:paraId="46343C69" w14:textId="40F603CD" w:rsidTr="004D7F28">
        <w:trPr>
          <w:cnfStyle w:val="100000000000" w:firstRow="1" w:lastRow="0" w:firstColumn="0" w:lastColumn="0" w:oddVBand="0" w:evenVBand="0" w:oddHBand="0" w:evenHBand="0" w:firstRowFirstColumn="0" w:firstRowLastColumn="0" w:lastRowFirstColumn="0" w:lastRowLastColumn="0"/>
        </w:trPr>
        <w:tc>
          <w:tcPr>
            <w:tcW w:w="10348" w:type="dxa"/>
            <w:tcBorders>
              <w:top w:val="double" w:sz="4" w:space="0" w:color="C0504D" w:themeColor="accent2"/>
              <w:left w:val="double" w:sz="4" w:space="0" w:color="C0504D" w:themeColor="accent2"/>
              <w:bottom w:val="double" w:sz="4" w:space="0" w:color="C0504D" w:themeColor="accent2"/>
              <w:right w:val="double" w:sz="4" w:space="0" w:color="C0504D" w:themeColor="accent2"/>
            </w:tcBorders>
            <w:shd w:val="clear" w:color="auto" w:fill="F2DBDB" w:themeFill="accent2" w:themeFillTint="33"/>
          </w:tcPr>
          <w:p w14:paraId="4A616438" w14:textId="3F3C87CB" w:rsidR="004D7F28" w:rsidRPr="009655EA" w:rsidRDefault="004D7F28" w:rsidP="00015ABE">
            <w:pPr>
              <w:pStyle w:val="Caption"/>
              <w:rPr>
                <w:color w:val="F79646" w:themeColor="accent6"/>
                <w:sz w:val="22"/>
                <w:szCs w:val="22"/>
                <w:highlight w:val="yellow"/>
              </w:rPr>
            </w:pPr>
            <w:bookmarkStart w:id="57" w:name="_Toc75940824"/>
            <w:r w:rsidRPr="009655EA">
              <w:rPr>
                <w:color w:val="F79646" w:themeColor="accent6"/>
                <w:sz w:val="22"/>
                <w:szCs w:val="22"/>
              </w:rPr>
              <w:lastRenderedPageBreak/>
              <w:t xml:space="preserve">Highlight Box </w:t>
            </w:r>
            <w:r w:rsidRPr="009655EA">
              <w:rPr>
                <w:color w:val="F79646" w:themeColor="accent6"/>
                <w:sz w:val="22"/>
                <w:szCs w:val="22"/>
                <w:shd w:val="clear" w:color="auto" w:fill="E6E6E6"/>
              </w:rPr>
              <w:fldChar w:fldCharType="begin"/>
            </w:r>
            <w:r w:rsidRPr="009655EA">
              <w:rPr>
                <w:color w:val="F79646" w:themeColor="accent6"/>
                <w:sz w:val="22"/>
                <w:szCs w:val="22"/>
              </w:rPr>
              <w:instrText xml:space="preserve"> SEQ Highlight_Box \* ARABIC </w:instrText>
            </w:r>
            <w:r w:rsidRPr="009655EA">
              <w:rPr>
                <w:color w:val="F79646" w:themeColor="accent6"/>
                <w:sz w:val="22"/>
                <w:szCs w:val="22"/>
                <w:shd w:val="clear" w:color="auto" w:fill="E6E6E6"/>
              </w:rPr>
              <w:fldChar w:fldCharType="separate"/>
            </w:r>
            <w:r w:rsidR="00D93EBF">
              <w:rPr>
                <w:noProof/>
                <w:color w:val="F79646" w:themeColor="accent6"/>
                <w:sz w:val="22"/>
                <w:szCs w:val="22"/>
              </w:rPr>
              <w:t>1</w:t>
            </w:r>
            <w:r w:rsidRPr="009655EA">
              <w:rPr>
                <w:color w:val="F79646" w:themeColor="accent6"/>
                <w:sz w:val="22"/>
                <w:szCs w:val="22"/>
                <w:shd w:val="clear" w:color="auto" w:fill="E6E6E6"/>
              </w:rPr>
              <w:fldChar w:fldCharType="end"/>
            </w:r>
            <w:r w:rsidRPr="009655EA">
              <w:rPr>
                <w:color w:val="F79646" w:themeColor="accent6"/>
                <w:sz w:val="22"/>
                <w:szCs w:val="22"/>
              </w:rPr>
              <w:t>: Not all men</w:t>
            </w:r>
            <w:bookmarkEnd w:id="57"/>
          </w:p>
          <w:p w14:paraId="154E9DCD" w14:textId="6271B697" w:rsidR="004D7F28" w:rsidRPr="009655EA" w:rsidRDefault="004D7F28" w:rsidP="00015ABE">
            <w:pPr>
              <w:rPr>
                <w:b w:val="0"/>
                <w:bCs/>
                <w:color w:val="000000" w:themeColor="text1"/>
                <w:szCs w:val="24"/>
              </w:rPr>
            </w:pPr>
            <w:r w:rsidRPr="009655EA">
              <w:rPr>
                <w:b w:val="0"/>
                <w:bCs/>
                <w:color w:val="000000" w:themeColor="text1"/>
                <w:szCs w:val="24"/>
              </w:rPr>
              <w:t xml:space="preserve">Many men and women see violence against women perpetrated by a minority of ‘deviant’ men affected by other reinforcing factors such as alcohol, </w:t>
            </w:r>
            <w:r w:rsidR="00CB4370">
              <w:rPr>
                <w:b w:val="0"/>
                <w:bCs/>
                <w:color w:val="000000" w:themeColor="text1"/>
                <w:szCs w:val="24"/>
              </w:rPr>
              <w:t xml:space="preserve">poor </w:t>
            </w:r>
            <w:r w:rsidRPr="009655EA">
              <w:rPr>
                <w:b w:val="0"/>
                <w:bCs/>
                <w:color w:val="000000" w:themeColor="text1"/>
                <w:szCs w:val="24"/>
              </w:rPr>
              <w:t xml:space="preserve">mental </w:t>
            </w:r>
            <w:proofErr w:type="gramStart"/>
            <w:r w:rsidRPr="009655EA">
              <w:rPr>
                <w:b w:val="0"/>
                <w:bCs/>
                <w:color w:val="000000" w:themeColor="text1"/>
                <w:szCs w:val="24"/>
              </w:rPr>
              <w:t>health</w:t>
            </w:r>
            <w:proofErr w:type="gramEnd"/>
            <w:r w:rsidRPr="009655EA">
              <w:rPr>
                <w:b w:val="0"/>
                <w:bCs/>
                <w:color w:val="000000" w:themeColor="text1"/>
                <w:szCs w:val="24"/>
              </w:rPr>
              <w:t xml:space="preserve"> and drug</w:t>
            </w:r>
            <w:r w:rsidR="00CB4370">
              <w:rPr>
                <w:b w:val="0"/>
                <w:bCs/>
                <w:color w:val="000000" w:themeColor="text1"/>
                <w:szCs w:val="24"/>
              </w:rPr>
              <w:t xml:space="preserve"> abuse/use</w:t>
            </w:r>
            <w:r w:rsidRPr="009655EA">
              <w:rPr>
                <w:b w:val="0"/>
                <w:bCs/>
                <w:color w:val="000000" w:themeColor="text1"/>
                <w:szCs w:val="24"/>
              </w:rPr>
              <w:t xml:space="preserve">. It is a “rallying” cry that sees gendered approaches to understanding violence against women as unfairly targeting men (Flood 2019, p. 289). </w:t>
            </w:r>
          </w:p>
          <w:p w14:paraId="040872B4" w14:textId="77777777" w:rsidR="004D7F28" w:rsidRPr="009655EA" w:rsidRDefault="004D7F28" w:rsidP="00015ABE">
            <w:pPr>
              <w:rPr>
                <w:b w:val="0"/>
                <w:bCs/>
                <w:color w:val="000000" w:themeColor="text1"/>
                <w:szCs w:val="24"/>
              </w:rPr>
            </w:pPr>
          </w:p>
          <w:p w14:paraId="532523D4" w14:textId="30B5FAF3" w:rsidR="004D7F28" w:rsidRPr="009655EA" w:rsidRDefault="004D7F28" w:rsidP="00015ABE">
            <w:pPr>
              <w:keepNext/>
              <w:rPr>
                <w:b w:val="0"/>
                <w:bCs/>
                <w:szCs w:val="24"/>
              </w:rPr>
            </w:pPr>
            <w:r w:rsidRPr="009655EA">
              <w:rPr>
                <w:b w:val="0"/>
                <w:bCs/>
                <w:szCs w:val="24"/>
              </w:rPr>
              <w:t xml:space="preserve">The ‘not all men’ argument is underpinned by a ‘good men versus bad men’ narrative, that </w:t>
            </w:r>
            <w:r w:rsidR="00CB4370">
              <w:rPr>
                <w:b w:val="0"/>
                <w:bCs/>
                <w:szCs w:val="24"/>
              </w:rPr>
              <w:t>does</w:t>
            </w:r>
            <w:r w:rsidR="0008594D">
              <w:rPr>
                <w:b w:val="0"/>
                <w:bCs/>
                <w:szCs w:val="24"/>
              </w:rPr>
              <w:t xml:space="preserve"> not</w:t>
            </w:r>
            <w:r w:rsidR="00CB4370">
              <w:rPr>
                <w:b w:val="0"/>
                <w:bCs/>
                <w:szCs w:val="24"/>
              </w:rPr>
              <w:t xml:space="preserve"> acknowledge </w:t>
            </w:r>
            <w:r w:rsidRPr="009655EA">
              <w:rPr>
                <w:b w:val="0"/>
                <w:bCs/>
                <w:szCs w:val="24"/>
              </w:rPr>
              <w:t xml:space="preserve">the structural and cultural forces of masculinities and gender inequality that drive violence against women (Our Watch, 2019, p. 80). The dichotomy ignores the patriarchal system which privileges men as a group and is embedded in our political, </w:t>
            </w:r>
            <w:proofErr w:type="gramStart"/>
            <w:r w:rsidRPr="009655EA">
              <w:rPr>
                <w:b w:val="0"/>
                <w:bCs/>
                <w:szCs w:val="24"/>
              </w:rPr>
              <w:t>economic</w:t>
            </w:r>
            <w:proofErr w:type="gramEnd"/>
            <w:r w:rsidRPr="009655EA">
              <w:rPr>
                <w:b w:val="0"/>
                <w:bCs/>
                <w:szCs w:val="24"/>
              </w:rPr>
              <w:t xml:space="preserve"> and social structures and systems (and intersects with other structural privileges and inequalities). It rescinds responsibility of ‘good’ or ‘real’ men to address their complicity in gender inequality and violence against women, reinforcing benevolent sexism and patriarchal perceptions around the protection of women from ‘bad men’ (Salter, 2016a). By designating violence to a minority group of deviant individuals or groups of ‘bad men,’ who are often </w:t>
            </w:r>
            <w:proofErr w:type="spellStart"/>
            <w:r w:rsidRPr="009655EA">
              <w:rPr>
                <w:b w:val="0"/>
                <w:bCs/>
                <w:szCs w:val="24"/>
              </w:rPr>
              <w:t>raciali</w:t>
            </w:r>
            <w:r w:rsidR="00CB4370">
              <w:rPr>
                <w:b w:val="0"/>
                <w:bCs/>
                <w:szCs w:val="24"/>
              </w:rPr>
              <w:t>s</w:t>
            </w:r>
            <w:r w:rsidRPr="009655EA">
              <w:rPr>
                <w:b w:val="0"/>
                <w:bCs/>
                <w:szCs w:val="24"/>
              </w:rPr>
              <w:t>ed</w:t>
            </w:r>
            <w:proofErr w:type="spellEnd"/>
            <w:r w:rsidRPr="009655EA">
              <w:rPr>
                <w:b w:val="0"/>
                <w:bCs/>
                <w:szCs w:val="24"/>
              </w:rPr>
              <w:t xml:space="preserve"> and classed, </w:t>
            </w:r>
            <w:r w:rsidR="00CB4370">
              <w:rPr>
                <w:b w:val="0"/>
                <w:bCs/>
                <w:szCs w:val="24"/>
              </w:rPr>
              <w:t xml:space="preserve">this </w:t>
            </w:r>
            <w:r w:rsidRPr="009655EA">
              <w:rPr>
                <w:b w:val="0"/>
                <w:bCs/>
                <w:szCs w:val="24"/>
              </w:rPr>
              <w:t xml:space="preserve">ignores everyday sexism and violence where the problem of violence against women, and therefore prevention efforts, only belong to some violent men in which violence is innate and can’t be helped (Our Watch 2019, p. 80). </w:t>
            </w:r>
          </w:p>
          <w:p w14:paraId="52DC5DF2" w14:textId="77777777" w:rsidR="004D7F28" w:rsidRPr="00437FB5" w:rsidRDefault="004D7F28" w:rsidP="00015ABE">
            <w:pPr>
              <w:rPr>
                <w:szCs w:val="24"/>
              </w:rPr>
            </w:pPr>
          </w:p>
          <w:p w14:paraId="6B0CF643" w14:textId="6A184A2C" w:rsidR="004D7F28" w:rsidRPr="00437FB5" w:rsidRDefault="004D7F28" w:rsidP="00015ABE">
            <w:pPr>
              <w:pStyle w:val="IntenseQuote"/>
              <w:rPr>
                <w:b w:val="0"/>
                <w:bCs/>
                <w:sz w:val="24"/>
              </w:rPr>
            </w:pPr>
            <w:r w:rsidRPr="00437FB5">
              <w:rPr>
                <w:sz w:val="24"/>
              </w:rPr>
              <w:t xml:space="preserve">#HowIWillChange </w:t>
            </w:r>
            <w:r w:rsidR="000D7FA6">
              <w:rPr>
                <w:sz w:val="24"/>
              </w:rPr>
              <w:t>b</w:t>
            </w:r>
            <w:r w:rsidRPr="00437FB5">
              <w:rPr>
                <w:sz w:val="24"/>
              </w:rPr>
              <w:t>y doing nothing. Men as a group aren’t responsible for the actions of an individual. F*** everyone promoting this tag</w:t>
            </w:r>
            <w:r w:rsidR="00CB4370">
              <w:rPr>
                <w:sz w:val="24"/>
              </w:rPr>
              <w:t>.</w:t>
            </w:r>
            <w:r w:rsidRPr="00437FB5">
              <w:rPr>
                <w:sz w:val="24"/>
              </w:rPr>
              <w:t xml:space="preserve"> </w:t>
            </w:r>
          </w:p>
          <w:p w14:paraId="6B505103" w14:textId="77777777" w:rsidR="004D7F28" w:rsidRPr="00437FB5" w:rsidRDefault="004D7F28" w:rsidP="00015ABE">
            <w:pPr>
              <w:pStyle w:val="IntenseQuote"/>
              <w:rPr>
                <w:sz w:val="24"/>
              </w:rPr>
            </w:pPr>
            <w:r w:rsidRPr="00437FB5">
              <w:rPr>
                <w:sz w:val="24"/>
              </w:rPr>
              <w:t>Men, if you haven’t sexually assaulted anyone (like most men), then you do not need to change #HowIWillChange (Petty et al., 2018)</w:t>
            </w:r>
          </w:p>
          <w:p w14:paraId="0340D6DB" w14:textId="77777777" w:rsidR="004D7F28" w:rsidRPr="00437FB5" w:rsidRDefault="004D7F28" w:rsidP="00015ABE">
            <w:pPr>
              <w:rPr>
                <w:color w:val="000000" w:themeColor="text1"/>
                <w:szCs w:val="24"/>
              </w:rPr>
            </w:pPr>
          </w:p>
          <w:p w14:paraId="697F3F49" w14:textId="7B7991C5" w:rsidR="004D7F28" w:rsidRPr="009655EA" w:rsidRDefault="004D7F28" w:rsidP="00015ABE">
            <w:pPr>
              <w:rPr>
                <w:b w:val="0"/>
                <w:bCs/>
                <w:szCs w:val="24"/>
              </w:rPr>
            </w:pPr>
            <w:r w:rsidRPr="009655EA">
              <w:rPr>
                <w:b w:val="0"/>
                <w:bCs/>
                <w:color w:val="000000" w:themeColor="text1"/>
                <w:szCs w:val="24"/>
              </w:rPr>
              <w:t xml:space="preserve">As </w:t>
            </w:r>
            <w:r w:rsidRPr="009655EA">
              <w:rPr>
                <w:b w:val="0"/>
                <w:bCs/>
                <w:i/>
                <w:iCs/>
                <w:color w:val="000000" w:themeColor="text1"/>
                <w:szCs w:val="24"/>
              </w:rPr>
              <w:t xml:space="preserve">Men in focus </w:t>
            </w:r>
            <w:r w:rsidRPr="009655EA">
              <w:rPr>
                <w:b w:val="0"/>
                <w:bCs/>
                <w:color w:val="000000" w:themeColor="text1"/>
                <w:szCs w:val="24"/>
              </w:rPr>
              <w:t xml:space="preserve">observes </w:t>
            </w:r>
            <w:r w:rsidRPr="009655EA">
              <w:rPr>
                <w:rFonts w:cs="Calibri"/>
                <w:b w:val="0"/>
                <w:bCs/>
                <w:color w:val="000000" w:themeColor="text1"/>
                <w:szCs w:val="24"/>
              </w:rPr>
              <w:t>“[t]he ‘not all men’ argument attempts to exempt the majority of men from responsibility and ignores how men are complicit in an overall system that supports…sexism and violence” (Our Watch 2019, p. 81). Passively not using violence is different to actively challenging the dominant forms of violence that can contribute to violence against women (Our Watch</w:t>
            </w:r>
            <w:r w:rsidRPr="009655EA">
              <w:rPr>
                <w:rFonts w:cs="Calibri"/>
                <w:b w:val="0"/>
                <w:bCs/>
                <w:i/>
                <w:iCs/>
                <w:color w:val="000000" w:themeColor="text1"/>
                <w:szCs w:val="24"/>
              </w:rPr>
              <w:t xml:space="preserve">, </w:t>
            </w:r>
            <w:r w:rsidRPr="009655EA">
              <w:rPr>
                <w:rFonts w:cs="Calibri"/>
                <w:b w:val="0"/>
                <w:bCs/>
                <w:color w:val="000000" w:themeColor="text1"/>
                <w:szCs w:val="24"/>
              </w:rPr>
              <w:t>2019, p. 82; Pease, 2008, 2016).</w:t>
            </w:r>
            <w:r w:rsidRPr="009655EA">
              <w:rPr>
                <w:b w:val="0"/>
                <w:bCs/>
                <w:szCs w:val="24"/>
              </w:rPr>
              <w:t xml:space="preserve"> As feminist theories on masculinities illustrate (e.g., Connell 2005) and </w:t>
            </w:r>
            <w:r w:rsidRPr="009655EA">
              <w:rPr>
                <w:b w:val="0"/>
                <w:bCs/>
                <w:i/>
                <w:iCs/>
                <w:szCs w:val="24"/>
              </w:rPr>
              <w:t xml:space="preserve">Men in </w:t>
            </w:r>
            <w:r w:rsidR="00CB4370">
              <w:rPr>
                <w:b w:val="0"/>
                <w:bCs/>
                <w:i/>
                <w:iCs/>
                <w:szCs w:val="24"/>
              </w:rPr>
              <w:t>f</w:t>
            </w:r>
            <w:r w:rsidRPr="009655EA">
              <w:rPr>
                <w:b w:val="0"/>
                <w:bCs/>
                <w:i/>
                <w:iCs/>
                <w:szCs w:val="24"/>
              </w:rPr>
              <w:t>ocus</w:t>
            </w:r>
            <w:r w:rsidRPr="009655EA">
              <w:rPr>
                <w:b w:val="0"/>
                <w:bCs/>
                <w:szCs w:val="24"/>
              </w:rPr>
              <w:t xml:space="preserve"> (Our Watch 2019, pp. 81-82)</w:t>
            </w:r>
            <w:r w:rsidRPr="009655EA">
              <w:rPr>
                <w:b w:val="0"/>
                <w:bCs/>
                <w:i/>
                <w:iCs/>
                <w:szCs w:val="24"/>
              </w:rPr>
              <w:t xml:space="preserve"> </w:t>
            </w:r>
            <w:r w:rsidRPr="009655EA">
              <w:rPr>
                <w:b w:val="0"/>
                <w:bCs/>
                <w:szCs w:val="24"/>
              </w:rPr>
              <w:t xml:space="preserve">details, men are complicit in maintaining unequal gender systems, even if they see themselves as a ‘one of the good guys’ and hold egalitarian views. This is known as the patriarchal dividend, “the advantage men in general gain from the overall subordination of women” (Connell 2005, p. 79). Although the patriarchal dividend is distributed unevenly among men depending on the intersecting forms of inequality they may experience, the support of dominant/hegemonic forms of masculinity, unwillingness to challenge those dominant forms, and defending privilege and power maintains gender hierarchies (Our Watch 2019, p. 81; see </w:t>
            </w:r>
            <w:r w:rsidR="002166A0">
              <w:rPr>
                <w:b w:val="0"/>
                <w:bCs/>
                <w:szCs w:val="24"/>
              </w:rPr>
              <w:t>pages 12-17</w:t>
            </w:r>
            <w:r w:rsidRPr="009655EA">
              <w:rPr>
                <w:b w:val="0"/>
                <w:bCs/>
                <w:szCs w:val="24"/>
              </w:rPr>
              <w:t xml:space="preserve">). These norms, practices and structures of masculinities means that all men are implicated in the gendered system that drives violence against women (Our Watch 2019). Challenging ‘not all men' arguments and attitudes mean rejecting the ‘good men vs. bad men’ dichotomy and recognising all men’s complicity and advantage due to male privilege (see </w:t>
            </w:r>
            <w:r w:rsidR="002166A0">
              <w:rPr>
                <w:b w:val="0"/>
                <w:bCs/>
                <w:szCs w:val="24"/>
              </w:rPr>
              <w:t>pages 12-17</w:t>
            </w:r>
            <w:r w:rsidRPr="009655EA">
              <w:rPr>
                <w:b w:val="0"/>
                <w:bCs/>
                <w:szCs w:val="24"/>
              </w:rPr>
              <w:t xml:space="preserve">). </w:t>
            </w:r>
          </w:p>
          <w:p w14:paraId="51ABC869" w14:textId="77777777" w:rsidR="004D7F28" w:rsidRPr="00437FB5" w:rsidRDefault="004D7F28" w:rsidP="00015ABE">
            <w:pPr>
              <w:rPr>
                <w:szCs w:val="24"/>
              </w:rPr>
            </w:pPr>
          </w:p>
        </w:tc>
      </w:tr>
    </w:tbl>
    <w:p w14:paraId="7624DE26" w14:textId="77777777" w:rsidR="004D7F28" w:rsidRDefault="004D7F28" w:rsidP="003C4492">
      <w:pPr>
        <w:sectPr w:rsidR="004D7F28" w:rsidSect="004D7F28">
          <w:type w:val="continuous"/>
          <w:pgSz w:w="11900" w:h="16850"/>
          <w:pgMar w:top="1340" w:right="1060" w:bottom="1020" w:left="860" w:header="567" w:footer="824" w:gutter="0"/>
          <w:cols w:space="720"/>
          <w:docGrid w:linePitch="299"/>
        </w:sectPr>
      </w:pPr>
    </w:p>
    <w:p w14:paraId="6A612A1E" w14:textId="59BD290B" w:rsidR="00FF1EC0" w:rsidRPr="001568F2" w:rsidRDefault="009655EA" w:rsidP="00B00EEE">
      <w:pPr>
        <w:pStyle w:val="Mainbody-subheadings"/>
        <w:spacing w:before="0"/>
      </w:pPr>
      <w:bookmarkStart w:id="58" w:name="_Toc85620727"/>
      <w:bookmarkStart w:id="59" w:name="_Toc87526314"/>
      <w:r>
        <w:lastRenderedPageBreak/>
        <w:t>Inaction</w:t>
      </w:r>
      <w:bookmarkEnd w:id="58"/>
      <w:bookmarkEnd w:id="59"/>
    </w:p>
    <w:p w14:paraId="1B522576" w14:textId="3FC64352" w:rsidR="009655EA" w:rsidRDefault="009655EA" w:rsidP="009655EA">
      <w:pPr>
        <w:contextualSpacing/>
      </w:pPr>
      <w:r w:rsidRPr="00437FB5">
        <w:t>Inaction as a form of resistance is relatively straightforward. It is the refusal or failure to implement measures to make progress towards the goal of gender equality, by delaying or blocking action. Individuals trying to institutionalise gender equality are often “swimming against the tide of the institutional inertia that maintains unequal gender norms” (</w:t>
      </w:r>
      <w:proofErr w:type="spellStart"/>
      <w:r w:rsidRPr="00437FB5">
        <w:t>Merga</w:t>
      </w:r>
      <w:r>
        <w:t>e</w:t>
      </w:r>
      <w:r w:rsidRPr="00437FB5">
        <w:t>rt</w:t>
      </w:r>
      <w:proofErr w:type="spellEnd"/>
      <w:r w:rsidRPr="00437FB5">
        <w:t xml:space="preserve"> and Lombardo 2014, p. 8). Inaction can take the form of passive resistance, for example simply not acting on a change process by sitting on approvals, or active resistance; blocking action by explicitly refusing to implement gender equality or prevention initiatives, conveying the message that they are a low priority and not a necessity</w:t>
      </w:r>
      <w:r>
        <w:t xml:space="preserve"> or it is ‘not the right time’</w:t>
      </w:r>
      <w:r w:rsidRPr="00437FB5">
        <w:t xml:space="preserve">, or constantly putting off action until there are ‘more </w:t>
      </w:r>
      <w:proofErr w:type="gramStart"/>
      <w:r w:rsidRPr="00437FB5">
        <w:t>resources’</w:t>
      </w:r>
      <w:proofErr w:type="gramEnd"/>
      <w:r w:rsidRPr="00437FB5">
        <w:t xml:space="preserve">. </w:t>
      </w:r>
    </w:p>
    <w:p w14:paraId="3411845F" w14:textId="1F0FF35A" w:rsidR="008112CD" w:rsidRDefault="008112CD" w:rsidP="009655EA">
      <w:pPr>
        <w:contextualSpacing/>
      </w:pPr>
    </w:p>
    <w:p w14:paraId="41F77812" w14:textId="453D911C" w:rsidR="008112CD" w:rsidRPr="00C4511B" w:rsidRDefault="008112CD" w:rsidP="00C4511B">
      <w:pPr>
        <w:widowControl/>
        <w:adjustRightInd w:val="0"/>
        <w:rPr>
          <w:rFonts w:eastAsiaTheme="minorHAnsi"/>
          <w:szCs w:val="24"/>
          <w:lang w:eastAsia="en-US" w:bidi="ar-SA"/>
        </w:rPr>
      </w:pPr>
      <w:r w:rsidRPr="00430D1C">
        <w:rPr>
          <w:rFonts w:eastAsiaTheme="minorHAnsi"/>
          <w:color w:val="000000"/>
          <w:szCs w:val="24"/>
          <w:lang w:eastAsia="en-US" w:bidi="ar-SA"/>
        </w:rPr>
        <w:t xml:space="preserve">There are a range of examples of both inaction at an individual, </w:t>
      </w:r>
      <w:proofErr w:type="gramStart"/>
      <w:r w:rsidRPr="00430D1C">
        <w:rPr>
          <w:rFonts w:eastAsiaTheme="minorHAnsi"/>
          <w:color w:val="000000"/>
          <w:szCs w:val="24"/>
          <w:lang w:eastAsia="en-US" w:bidi="ar-SA"/>
        </w:rPr>
        <w:t>organisational</w:t>
      </w:r>
      <w:proofErr w:type="gramEnd"/>
      <w:r w:rsidRPr="00430D1C">
        <w:rPr>
          <w:rFonts w:eastAsiaTheme="minorHAnsi"/>
          <w:color w:val="000000"/>
          <w:szCs w:val="24"/>
          <w:lang w:eastAsia="en-US" w:bidi="ar-SA"/>
        </w:rPr>
        <w:t xml:space="preserve"> and institutional level. For example, at an individual level this may involve leaders or key gatekeepers refusing to discuss or address prevention of violence against women. At an institutional level, this may include unwillingness to invest in or allocate appropriate resources to support gender equality initiatives.</w:t>
      </w:r>
    </w:p>
    <w:p w14:paraId="3973D358" w14:textId="04209140" w:rsidR="009655EA" w:rsidRPr="00437FB5" w:rsidRDefault="009655EA" w:rsidP="009655EA">
      <w:pPr>
        <w:contextualSpacing/>
      </w:pPr>
    </w:p>
    <w:p w14:paraId="18C03A42" w14:textId="686BA69F" w:rsidR="00CB4370" w:rsidRDefault="009655EA" w:rsidP="009655EA">
      <w:pPr>
        <w:contextualSpacing/>
      </w:pPr>
      <w:r w:rsidRPr="00437FB5">
        <w:t xml:space="preserve">Limited resources (financial and human) are a major barrier to change in many contexts, but the refusal to </w:t>
      </w:r>
      <w:r w:rsidRPr="00437FB5">
        <w:rPr>
          <w:i/>
          <w:iCs/>
        </w:rPr>
        <w:t>allocate</w:t>
      </w:r>
      <w:r w:rsidRPr="00437FB5">
        <w:t xml:space="preserve"> resources, or to prioritise prevention work for resourcing over other demands is also a form of resistance to working towards the goal of gender equality (FESTA 2016). </w:t>
      </w:r>
    </w:p>
    <w:p w14:paraId="5A311AC6" w14:textId="052287CB" w:rsidR="009655EA" w:rsidRDefault="009655EA" w:rsidP="009655EA">
      <w:pPr>
        <w:contextualSpacing/>
      </w:pPr>
      <w:r w:rsidRPr="00437FB5">
        <w:t xml:space="preserve">For example, in a survey conducted by Our Watch in January 2020 with over 300 stakeholders working in prevention of violence against women across Australia, almost a quarter of respondents work for </w:t>
      </w:r>
      <w:r w:rsidRPr="00437FB5">
        <w:t>an organisation that provides</w:t>
      </w:r>
      <w:r>
        <w:t xml:space="preserve"> critical</w:t>
      </w:r>
      <w:r w:rsidRPr="00437FB5">
        <w:t xml:space="preserve"> </w:t>
      </w:r>
      <w:r>
        <w:t xml:space="preserve">violence-related </w:t>
      </w:r>
      <w:r w:rsidRPr="00437FB5">
        <w:t xml:space="preserve">services that they are not funded to deliver. </w:t>
      </w:r>
    </w:p>
    <w:p w14:paraId="0F2B903D" w14:textId="77777777" w:rsidR="009655EA" w:rsidRPr="00437FB5" w:rsidRDefault="009655EA" w:rsidP="009655EA">
      <w:pPr>
        <w:contextualSpacing/>
      </w:pPr>
    </w:p>
    <w:p w14:paraId="7FDA99AA" w14:textId="77777777" w:rsidR="009655EA" w:rsidRPr="00914BB8" w:rsidRDefault="009655EA" w:rsidP="009655EA">
      <w:pPr>
        <w:pStyle w:val="IntenseQuote"/>
        <w:rPr>
          <w:sz w:val="24"/>
        </w:rPr>
      </w:pPr>
      <w:r w:rsidRPr="00914BB8">
        <w:rPr>
          <w:sz w:val="24"/>
        </w:rPr>
        <w:t xml:space="preserve">Now that bar is deliberately high, we get a lot of people saying, ‘we acknowledge the issue, but we can't it's too expensive’. These are sometimes organisations with very large budgets saying it's too expensive to do and or it's not a priority or we've already done something similar, we've already got a policy around </w:t>
      </w:r>
      <w:proofErr w:type="gramStart"/>
      <w:r w:rsidRPr="00914BB8">
        <w:rPr>
          <w:sz w:val="24"/>
        </w:rPr>
        <w:t>inclusion</w:t>
      </w:r>
      <w:proofErr w:type="gramEnd"/>
      <w:r w:rsidRPr="00914BB8">
        <w:rPr>
          <w:sz w:val="24"/>
        </w:rPr>
        <w:t xml:space="preserve"> and we've got lots of gay people on staff so we get people kind of saying we can't do it yet we can't do it yet</w:t>
      </w:r>
      <w:r>
        <w:rPr>
          <w:sz w:val="24"/>
        </w:rPr>
        <w:t xml:space="preserve"> (Stakeholder 1, 2021)</w:t>
      </w:r>
      <w:r w:rsidRPr="00914BB8">
        <w:rPr>
          <w:sz w:val="24"/>
        </w:rPr>
        <w:t xml:space="preserve"> </w:t>
      </w:r>
    </w:p>
    <w:p w14:paraId="7A336770" w14:textId="1BD48080" w:rsidR="00B00EEE" w:rsidRDefault="005E7838" w:rsidP="005E7838">
      <w:pPr>
        <w:contextualSpacing/>
      </w:pPr>
      <w:r w:rsidRPr="00437FB5">
        <w:t xml:space="preserve">Institutional inaction can </w:t>
      </w:r>
      <w:r w:rsidR="00CB4370">
        <w:t>also include</w:t>
      </w:r>
      <w:r w:rsidR="00CB4370" w:rsidRPr="00437FB5">
        <w:t xml:space="preserve"> </w:t>
      </w:r>
      <w:r w:rsidRPr="00437FB5">
        <w:t xml:space="preserve">noncompliance with certain laws, </w:t>
      </w:r>
      <w:proofErr w:type="gramStart"/>
      <w:r w:rsidRPr="00437FB5">
        <w:t>rules</w:t>
      </w:r>
      <w:proofErr w:type="gramEnd"/>
      <w:r w:rsidRPr="00437FB5">
        <w:t xml:space="preserve"> and regulations</w:t>
      </w:r>
      <w:r w:rsidR="00CB4370">
        <w:t xml:space="preserve">. For example, this is evident in the context of </w:t>
      </w:r>
      <w:r w:rsidRPr="00437FB5">
        <w:t xml:space="preserve">reporting of gender pay gaps that is mandated under the </w:t>
      </w:r>
      <w:r w:rsidRPr="00C4511B">
        <w:rPr>
          <w:i/>
          <w:iCs/>
        </w:rPr>
        <w:t xml:space="preserve">Workplace Gender Equality Act 2012 </w:t>
      </w:r>
      <w:r w:rsidR="00CB4370" w:rsidRPr="0008594D">
        <w:t>(</w:t>
      </w:r>
      <w:proofErr w:type="spellStart"/>
      <w:r w:rsidR="00CB4370" w:rsidRPr="0008594D">
        <w:t>Cth</w:t>
      </w:r>
      <w:proofErr w:type="spellEnd"/>
      <w:r w:rsidR="00CB4370" w:rsidRPr="0008594D">
        <w:t>)</w:t>
      </w:r>
      <w:r w:rsidR="00CB4370">
        <w:t xml:space="preserve"> </w:t>
      </w:r>
      <w:r w:rsidRPr="00437FB5">
        <w:t xml:space="preserve">for private companies with over 100 employees. </w:t>
      </w:r>
      <w:r w:rsidR="00CB4370">
        <w:t>In April 2021</w:t>
      </w:r>
      <w:r w:rsidR="00070AF2">
        <w:t>,</w:t>
      </w:r>
      <w:r w:rsidR="00CB4370">
        <w:t xml:space="preserve"> there were </w:t>
      </w:r>
      <w:r w:rsidRPr="00437FB5">
        <w:t>126 companies listed as not being compliant</w:t>
      </w:r>
      <w:r w:rsidR="0008594D">
        <w:t>.</w:t>
      </w:r>
      <w:r w:rsidRPr="00437FB5">
        <w:rPr>
          <w:rStyle w:val="FootnoteReference"/>
        </w:rPr>
        <w:footnoteReference w:id="11"/>
      </w:r>
      <w:r w:rsidRPr="00437FB5">
        <w:t xml:space="preserve"> </w:t>
      </w:r>
    </w:p>
    <w:p w14:paraId="1B490F58" w14:textId="77777777" w:rsidR="00B00EEE" w:rsidRDefault="00B00EEE" w:rsidP="005E7838">
      <w:pPr>
        <w:contextualSpacing/>
      </w:pPr>
    </w:p>
    <w:p w14:paraId="4DFBBF44" w14:textId="4F7C70D5" w:rsidR="009C5C5C" w:rsidRPr="00437FB5" w:rsidRDefault="005E7838" w:rsidP="009C5C5C">
      <w:pPr>
        <w:contextualSpacing/>
      </w:pPr>
      <w:r w:rsidRPr="00437FB5">
        <w:t xml:space="preserve">This is a </w:t>
      </w:r>
      <w:r w:rsidRPr="009C5C5C">
        <w:rPr>
          <w:szCs w:val="24"/>
        </w:rPr>
        <w:t xml:space="preserve">form of institutional apathy towards legal obligations </w:t>
      </w:r>
      <w:r w:rsidR="009C5C5C" w:rsidRPr="00C4511B">
        <w:rPr>
          <w:rFonts w:eastAsiaTheme="minorHAnsi"/>
          <w:color w:val="000000"/>
          <w:szCs w:val="24"/>
          <w:lang w:eastAsia="en-US" w:bidi="ar-SA"/>
        </w:rPr>
        <w:t>designed to contribute towards achieving gender equality.</w:t>
      </w:r>
    </w:p>
    <w:p w14:paraId="5099A4FB" w14:textId="36482DA1" w:rsidR="005E7838" w:rsidRPr="00437FB5" w:rsidRDefault="005E7838" w:rsidP="005E7838">
      <w:pPr>
        <w:contextualSpacing/>
      </w:pPr>
    </w:p>
    <w:p w14:paraId="5465B8B8" w14:textId="7809AA1C" w:rsidR="005E7838" w:rsidRDefault="005E7838" w:rsidP="005E7838">
      <w:r>
        <w:t xml:space="preserve">In summary, inaction is the deferring, </w:t>
      </w:r>
      <w:proofErr w:type="gramStart"/>
      <w:r>
        <w:t>delaying</w:t>
      </w:r>
      <w:proofErr w:type="gramEnd"/>
      <w:r>
        <w:t xml:space="preserve"> or blocking action towards primary prevention goals. </w:t>
      </w:r>
      <w:r w:rsidRPr="001B3C0A">
        <w:t xml:space="preserve">Sometimes inaction can be a result </w:t>
      </w:r>
      <w:r>
        <w:t>of</w:t>
      </w:r>
      <w:r w:rsidRPr="001B3C0A">
        <w:t xml:space="preserve"> normal delays</w:t>
      </w:r>
      <w:r>
        <w:t xml:space="preserve"> or workloads</w:t>
      </w:r>
      <w:r w:rsidRPr="001B3C0A">
        <w:t xml:space="preserve"> and not a conscious or intentional de-prioritising </w:t>
      </w:r>
      <w:r>
        <w:t xml:space="preserve">of this work. Addressing this kind of </w:t>
      </w:r>
      <w:r w:rsidRPr="001B3C0A">
        <w:t>inaction can be relatively straightforward. However, inaction can</w:t>
      </w:r>
      <w:r>
        <w:t xml:space="preserve"> also</w:t>
      </w:r>
      <w:r w:rsidRPr="001B3C0A">
        <w:t xml:space="preserve"> </w:t>
      </w:r>
      <w:r>
        <w:t xml:space="preserve">be more wilful; </w:t>
      </w:r>
      <w:r w:rsidRPr="001B3C0A">
        <w:t>reflect</w:t>
      </w:r>
      <w:r>
        <w:t>ing</w:t>
      </w:r>
      <w:r w:rsidRPr="001B3C0A">
        <w:t xml:space="preserve"> a lack of commitment to change</w:t>
      </w:r>
      <w:r>
        <w:t xml:space="preserve">, which results in </w:t>
      </w:r>
      <w:r w:rsidRPr="001B3C0A">
        <w:t xml:space="preserve">action being </w:t>
      </w:r>
      <w:r>
        <w:t>deliberately de-</w:t>
      </w:r>
      <w:r w:rsidRPr="001B3C0A">
        <w:t xml:space="preserve">prioritised or delayed. </w:t>
      </w:r>
      <w:r>
        <w:t xml:space="preserve">This can be exhibited by </w:t>
      </w:r>
      <w:r>
        <w:lastRenderedPageBreak/>
        <w:t>individuals, especially decision-makers who actively or passively oppose primary prevention efforts by not prioritising action</w:t>
      </w:r>
      <w:r w:rsidR="00CB4370">
        <w:t>, as well as organisations and institutions.</w:t>
      </w:r>
      <w:r>
        <w:t xml:space="preserve"> </w:t>
      </w:r>
    </w:p>
    <w:p w14:paraId="2F61DBF1" w14:textId="2103C2DB" w:rsidR="00FF1EC0" w:rsidRPr="001568F2" w:rsidRDefault="005E7838" w:rsidP="009651B9">
      <w:pPr>
        <w:pStyle w:val="Mainbody-subheadings"/>
        <w:spacing w:before="120"/>
      </w:pPr>
      <w:bookmarkStart w:id="60" w:name="_Toc85620728"/>
      <w:bookmarkStart w:id="61" w:name="_Toc87526315"/>
      <w:r>
        <w:t>Appeasement</w:t>
      </w:r>
      <w:bookmarkEnd w:id="60"/>
      <w:bookmarkEnd w:id="61"/>
    </w:p>
    <w:p w14:paraId="56A4DD1B" w14:textId="77777777" w:rsidR="00CB4370" w:rsidRDefault="005E7838" w:rsidP="005E7838">
      <w:pPr>
        <w:contextualSpacing/>
      </w:pPr>
      <w:r w:rsidRPr="005E7838">
        <w:t>Appeasement is a tactic used to placate those advocating for change while simultaneously putting off or limiting any meaningful action to achieve change.</w:t>
      </w:r>
    </w:p>
    <w:p w14:paraId="156296A6" w14:textId="77777777" w:rsidR="00CB4370" w:rsidRDefault="00CB4370" w:rsidP="005E7838">
      <w:pPr>
        <w:contextualSpacing/>
      </w:pPr>
    </w:p>
    <w:p w14:paraId="0F001F2F" w14:textId="5199C648" w:rsidR="005E7838" w:rsidRDefault="005E7838" w:rsidP="005E7838">
      <w:pPr>
        <w:contextualSpacing/>
      </w:pPr>
      <w:r w:rsidRPr="005E7838">
        <w:t xml:space="preserve">For example, when women’s safety is framed in </w:t>
      </w:r>
      <w:r w:rsidRPr="00437FB5">
        <w:t xml:space="preserve">terms of men’s protection of women and the maintenance of gender roles, this reinforces patriarchal ideals and benevolent sexist attitudes that men must maintain power and control; this ‘protection’ of women is portrayed as the solution to sexual assault rather than women’s autonomy, </w:t>
      </w:r>
      <w:proofErr w:type="gramStart"/>
      <w:r w:rsidRPr="00437FB5">
        <w:t>agency</w:t>
      </w:r>
      <w:proofErr w:type="gramEnd"/>
      <w:r w:rsidRPr="00437FB5">
        <w:t xml:space="preserve"> and safety (Petty et al., 2018</w:t>
      </w:r>
      <w:r>
        <w:t>;</w:t>
      </w:r>
      <w:r w:rsidRPr="00437FB5">
        <w:t xml:space="preserve"> Salter 2016</w:t>
      </w:r>
      <w:r>
        <w:t>a</w:t>
      </w:r>
      <w:r w:rsidRPr="00437FB5">
        <w:t xml:space="preserve">). </w:t>
      </w:r>
      <w:r>
        <w:t xml:space="preserve">Framing empathy and understanding of women’s experiences of violence then is couched in appeals to </w:t>
      </w:r>
      <w:r w:rsidRPr="00437FB5">
        <w:t>men to ‘man up’ or be ‘good men’</w:t>
      </w:r>
      <w:r>
        <w:t xml:space="preserve">, </w:t>
      </w:r>
      <w:r w:rsidRPr="00437FB5">
        <w:t>mobilis</w:t>
      </w:r>
      <w:r>
        <w:t>ing</w:t>
      </w:r>
      <w:r w:rsidRPr="00437FB5">
        <w:t xml:space="preserve"> hegemonic masculine ideals of strength and protectiveness that can reinforce stereotypical constructions of masculinities and femininities (gender driver 3) (Salter</w:t>
      </w:r>
      <w:r>
        <w:t xml:space="preserve"> </w:t>
      </w:r>
      <w:r w:rsidRPr="00437FB5">
        <w:t>2016</w:t>
      </w:r>
      <w:r>
        <w:t>a</w:t>
      </w:r>
      <w:r w:rsidRPr="00437FB5">
        <w:t>)</w:t>
      </w:r>
      <w:r>
        <w:t>.</w:t>
      </w:r>
    </w:p>
    <w:p w14:paraId="5EBC8D0C" w14:textId="5CDE65F4" w:rsidR="005E7838" w:rsidRDefault="005E7838" w:rsidP="005E7838">
      <w:pPr>
        <w:contextualSpacing/>
      </w:pPr>
    </w:p>
    <w:p w14:paraId="36368000" w14:textId="77777777" w:rsidR="005E7838" w:rsidRPr="00914BB8" w:rsidRDefault="005E7838" w:rsidP="005E7838">
      <w:pPr>
        <w:pStyle w:val="IntenseQuote"/>
        <w:ind w:left="0"/>
        <w:rPr>
          <w:sz w:val="24"/>
        </w:rPr>
      </w:pPr>
      <w:r w:rsidRPr="00914BB8">
        <w:rPr>
          <w:sz w:val="24"/>
        </w:rPr>
        <w:t>#HowIWillChange I WON’T! I will continue being the great husband, humble father, and strong head of the home that I am</w:t>
      </w:r>
    </w:p>
    <w:p w14:paraId="63D94B00" w14:textId="77777777" w:rsidR="005E7838" w:rsidRPr="00914BB8" w:rsidRDefault="005E7838" w:rsidP="005E7838">
      <w:pPr>
        <w:pStyle w:val="IntenseQuote"/>
        <w:ind w:left="0"/>
        <w:rPr>
          <w:rStyle w:val="FootnoteReference"/>
          <w:sz w:val="24"/>
        </w:rPr>
      </w:pPr>
      <w:r w:rsidRPr="00914BB8">
        <w:rPr>
          <w:sz w:val="24"/>
        </w:rPr>
        <w:t>I will help end the abuse of women by returning them to the domestic sphere where they have flowered [. . .]</w:t>
      </w:r>
    </w:p>
    <w:p w14:paraId="221F3863" w14:textId="77777777" w:rsidR="005E7838" w:rsidRPr="00914BB8" w:rsidRDefault="005E7838" w:rsidP="005E7838">
      <w:pPr>
        <w:pStyle w:val="IntenseQuote"/>
        <w:ind w:left="0"/>
        <w:rPr>
          <w:sz w:val="24"/>
        </w:rPr>
      </w:pPr>
      <w:r>
        <w:rPr>
          <w:sz w:val="24"/>
        </w:rPr>
        <w:t>(</w:t>
      </w:r>
      <w:r w:rsidRPr="00914BB8">
        <w:rPr>
          <w:sz w:val="24"/>
        </w:rPr>
        <w:t>Petty et al., 2018, p. 6</w:t>
      </w:r>
      <w:r>
        <w:rPr>
          <w:sz w:val="24"/>
        </w:rPr>
        <w:t>)</w:t>
      </w:r>
    </w:p>
    <w:p w14:paraId="6F36ED10" w14:textId="77777777" w:rsidR="005E7838" w:rsidRDefault="005E7838" w:rsidP="005E7838">
      <w:r>
        <w:rPr>
          <w:color w:val="000000" w:themeColor="text1"/>
        </w:rPr>
        <w:t xml:space="preserve">Institutional </w:t>
      </w:r>
      <w:r w:rsidRPr="00437FB5">
        <w:rPr>
          <w:color w:val="000000" w:themeColor="text1"/>
        </w:rPr>
        <w:t xml:space="preserve">appeasement </w:t>
      </w:r>
      <w:r>
        <w:rPr>
          <w:color w:val="000000" w:themeColor="text1"/>
        </w:rPr>
        <w:t>may</w:t>
      </w:r>
      <w:r w:rsidRPr="00437FB5">
        <w:rPr>
          <w:color w:val="000000" w:themeColor="text1"/>
        </w:rPr>
        <w:t xml:space="preserve"> occur </w:t>
      </w:r>
      <w:r w:rsidRPr="00437FB5">
        <w:rPr>
          <w:rFonts w:eastAsia="Times New Roman" w:cs="Times New Roman"/>
          <w:lang w:eastAsia="en-GB"/>
        </w:rPr>
        <w:t xml:space="preserve">when gender equality is seen to have already </w:t>
      </w:r>
      <w:r>
        <w:rPr>
          <w:rFonts w:eastAsia="Times New Roman" w:cs="Times New Roman"/>
          <w:lang w:eastAsia="en-GB"/>
        </w:rPr>
        <w:t xml:space="preserve">been </w:t>
      </w:r>
      <w:r w:rsidRPr="00437FB5">
        <w:rPr>
          <w:rFonts w:eastAsia="Times New Roman" w:cs="Times New Roman"/>
          <w:lang w:eastAsia="en-GB"/>
        </w:rPr>
        <w:t xml:space="preserve">achieved, </w:t>
      </w:r>
      <w:r>
        <w:rPr>
          <w:rFonts w:eastAsia="Times New Roman" w:cs="Times New Roman"/>
          <w:lang w:eastAsia="en-GB"/>
        </w:rPr>
        <w:t>where</w:t>
      </w:r>
      <w:r w:rsidRPr="00437FB5">
        <w:rPr>
          <w:rFonts w:eastAsia="Times New Roman" w:cs="Times New Roman"/>
          <w:lang w:eastAsia="en-GB"/>
        </w:rPr>
        <w:t xml:space="preserve"> initiatives are no longer believed to be needed, and gender equality is seen as ‘done’ (Colley et al</w:t>
      </w:r>
      <w:r>
        <w:rPr>
          <w:rFonts w:eastAsia="Times New Roman" w:cs="Times New Roman"/>
          <w:lang w:eastAsia="en-GB"/>
        </w:rPr>
        <w:t>.,</w:t>
      </w:r>
      <w:r w:rsidRPr="00437FB5">
        <w:rPr>
          <w:rFonts w:eastAsia="Times New Roman" w:cs="Times New Roman"/>
          <w:lang w:eastAsia="en-GB"/>
        </w:rPr>
        <w:t xml:space="preserve"> 2020, pp. 4-5). </w:t>
      </w:r>
      <w:r w:rsidRPr="00437FB5">
        <w:rPr>
          <w:color w:val="000000" w:themeColor="text1"/>
        </w:rPr>
        <w:t xml:space="preserve">Appeasement can also be phrased as “we tried to implement diversity </w:t>
      </w:r>
      <w:r w:rsidRPr="00437FB5">
        <w:rPr>
          <w:color w:val="000000" w:themeColor="text1"/>
        </w:rPr>
        <w:t xml:space="preserve">initiatives, but staff were sick of them” (Flood et al., 2018, p. 16). </w:t>
      </w:r>
      <w:r w:rsidRPr="00437FB5">
        <w:t xml:space="preserve">This relates to the sustainability of </w:t>
      </w:r>
      <w:r>
        <w:t>primary prevention change processes</w:t>
      </w:r>
      <w:r w:rsidRPr="00437FB5">
        <w:t xml:space="preserve"> and</w:t>
      </w:r>
      <w:r>
        <w:t xml:space="preserve"> a </w:t>
      </w:r>
      <w:r w:rsidRPr="00437FB5">
        <w:t xml:space="preserve">lack of integration into the day-to-day functions of </w:t>
      </w:r>
      <w:r>
        <w:t>an</w:t>
      </w:r>
      <w:r w:rsidRPr="00437FB5">
        <w:t xml:space="preserve"> organisation. </w:t>
      </w:r>
    </w:p>
    <w:p w14:paraId="66CF1D11" w14:textId="77777777" w:rsidR="005E7838" w:rsidRDefault="005E7838" w:rsidP="005E7838"/>
    <w:p w14:paraId="15C1DC74" w14:textId="1358A34F" w:rsidR="005E7838" w:rsidRPr="00437FB5" w:rsidRDefault="005E7838" w:rsidP="005E7838">
      <w:pPr>
        <w:rPr>
          <w:color w:val="000000" w:themeColor="text1"/>
        </w:rPr>
      </w:pPr>
      <w:r w:rsidRPr="00437FB5">
        <w:t>Those working on gender equality can begin to feel tired and/or hopeless when they do not see any visible changes or slow improvement resulting in a lack of excitement and overall apathy</w:t>
      </w:r>
      <w:r>
        <w:t xml:space="preserve"> towards primary prevention</w:t>
      </w:r>
      <w:r w:rsidRPr="00437FB5">
        <w:t xml:space="preserve"> (FESTA 2016). </w:t>
      </w:r>
      <w:r w:rsidRPr="00437FB5">
        <w:rPr>
          <w:color w:val="000000" w:themeColor="text1"/>
        </w:rPr>
        <w:t>Fatigue with change initiatives such as primary prevention</w:t>
      </w:r>
      <w:r>
        <w:rPr>
          <w:color w:val="000000" w:themeColor="text1"/>
        </w:rPr>
        <w:t xml:space="preserve"> of violence against women</w:t>
      </w:r>
      <w:r w:rsidRPr="00437FB5">
        <w:rPr>
          <w:color w:val="000000" w:themeColor="text1"/>
        </w:rPr>
        <w:t xml:space="preserve"> can be used as an excuse to limit their impact (Colley et al., 2020). </w:t>
      </w:r>
      <w:r>
        <w:rPr>
          <w:color w:val="000000" w:themeColor="text1"/>
        </w:rPr>
        <w:t xml:space="preserve">Changing people’s attitudes and </w:t>
      </w:r>
      <w:proofErr w:type="gramStart"/>
      <w:r>
        <w:rPr>
          <w:color w:val="000000" w:themeColor="text1"/>
        </w:rPr>
        <w:t>beliefs, or</w:t>
      </w:r>
      <w:proofErr w:type="gramEnd"/>
      <w:r>
        <w:rPr>
          <w:color w:val="000000" w:themeColor="text1"/>
        </w:rPr>
        <w:t xml:space="preserve"> getting people to recognise the ways in which gender shapes our society, may seem like an uphill battle for changemakers where barriers to being able to access the necessary power, resources and tools for primary prevention may seem insurmountable.   </w:t>
      </w:r>
    </w:p>
    <w:p w14:paraId="49330E94" w14:textId="77777777" w:rsidR="005E7838" w:rsidRPr="00437FB5" w:rsidRDefault="005E7838" w:rsidP="005E7838">
      <w:pPr>
        <w:rPr>
          <w:color w:val="000000" w:themeColor="text1"/>
        </w:rPr>
      </w:pPr>
    </w:p>
    <w:p w14:paraId="46C325B2" w14:textId="77777777" w:rsidR="005E7838" w:rsidRPr="00437FB5" w:rsidRDefault="005E7838" w:rsidP="005E7838">
      <w:pPr>
        <w:rPr>
          <w:color w:val="000000" w:themeColor="text1"/>
        </w:rPr>
      </w:pPr>
      <w:r w:rsidRPr="00437FB5">
        <w:rPr>
          <w:color w:val="000000" w:themeColor="text1"/>
        </w:rPr>
        <w:t>Appeasement is also made through claims around ‘post-feminism’. This is where feminist activism and goals are seen to be no longer required due to the perceived institutionalisation and professionalisation of feminism and the achievement of gender equality through numerical parity and legal frameworks (Gill</w:t>
      </w:r>
      <w:r>
        <w:rPr>
          <w:color w:val="000000" w:themeColor="text1"/>
        </w:rPr>
        <w:t xml:space="preserve"> et al., </w:t>
      </w:r>
      <w:r w:rsidRPr="00437FB5">
        <w:rPr>
          <w:color w:val="000000" w:themeColor="text1"/>
        </w:rPr>
        <w:t xml:space="preserve">2016; Flood et al. 2018, p. 10). For example, </w:t>
      </w:r>
      <w:r>
        <w:rPr>
          <w:color w:val="000000" w:themeColor="text1"/>
        </w:rPr>
        <w:t>‘</w:t>
      </w:r>
      <w:r w:rsidRPr="00437FB5">
        <w:rPr>
          <w:color w:val="000000" w:themeColor="text1"/>
        </w:rPr>
        <w:t>why do we need gender equality when feminism has already been achieved, women are in parliament, we even had a female PM!</w:t>
      </w:r>
      <w:r>
        <w:rPr>
          <w:color w:val="000000" w:themeColor="text1"/>
        </w:rPr>
        <w:t>’</w:t>
      </w:r>
      <w:r w:rsidRPr="00437FB5">
        <w:rPr>
          <w:color w:val="000000" w:themeColor="text1"/>
        </w:rPr>
        <w:t xml:space="preserve"> or </w:t>
      </w:r>
      <w:r>
        <w:rPr>
          <w:color w:val="000000" w:themeColor="text1"/>
        </w:rPr>
        <w:t>‘</w:t>
      </w:r>
      <w:r w:rsidRPr="00437FB5">
        <w:rPr>
          <w:color w:val="000000" w:themeColor="text1"/>
        </w:rPr>
        <w:t>gender equality is no longer needed, there are lots of women working in my office</w:t>
      </w:r>
      <w:r>
        <w:rPr>
          <w:color w:val="000000" w:themeColor="text1"/>
        </w:rPr>
        <w:t>.’</w:t>
      </w:r>
      <w:r w:rsidRPr="00437FB5">
        <w:rPr>
          <w:color w:val="000000" w:themeColor="text1"/>
        </w:rPr>
        <w:t xml:space="preserve"> This type of excuse problematically individualises gender equality and fails to capture the structural and intersecting forms of privilege and oppression (e.g., </w:t>
      </w:r>
      <w:r w:rsidRPr="001C574B">
        <w:rPr>
          <w:i/>
          <w:iCs/>
          <w:color w:val="000000" w:themeColor="text1"/>
        </w:rPr>
        <w:t>how</w:t>
      </w:r>
      <w:r w:rsidRPr="00437FB5">
        <w:rPr>
          <w:color w:val="000000" w:themeColor="text1"/>
        </w:rPr>
        <w:t xml:space="preserve"> institutions are gendered, </w:t>
      </w:r>
      <w:r w:rsidRPr="001C574B">
        <w:rPr>
          <w:i/>
          <w:iCs/>
          <w:color w:val="000000" w:themeColor="text1"/>
        </w:rPr>
        <w:t>which</w:t>
      </w:r>
      <w:r w:rsidRPr="00437FB5">
        <w:rPr>
          <w:color w:val="000000" w:themeColor="text1"/>
        </w:rPr>
        <w:t xml:space="preserve"> women are working in the office and are in </w:t>
      </w:r>
      <w:r>
        <w:rPr>
          <w:color w:val="000000" w:themeColor="text1"/>
        </w:rPr>
        <w:t xml:space="preserve">decision-making positions </w:t>
      </w:r>
      <w:r w:rsidRPr="001C7855">
        <w:rPr>
          <w:color w:val="000000" w:themeColor="text1"/>
        </w:rPr>
        <w:t>and</w:t>
      </w:r>
      <w:r w:rsidRPr="00F0202D">
        <w:rPr>
          <w:color w:val="000000" w:themeColor="text1"/>
        </w:rPr>
        <w:t xml:space="preserve"> </w:t>
      </w:r>
      <w:r>
        <w:rPr>
          <w:i/>
          <w:iCs/>
          <w:color w:val="000000" w:themeColor="text1"/>
        </w:rPr>
        <w:t>what</w:t>
      </w:r>
      <w:r w:rsidRPr="00437FB5">
        <w:rPr>
          <w:color w:val="000000" w:themeColor="text1"/>
        </w:rPr>
        <w:t xml:space="preserve"> their experiences are like).</w:t>
      </w:r>
      <w:r>
        <w:rPr>
          <w:color w:val="000000" w:themeColor="text1"/>
        </w:rPr>
        <w:t xml:space="preserve"> </w:t>
      </w:r>
    </w:p>
    <w:p w14:paraId="5B0DBF7E" w14:textId="64DC3CCE" w:rsidR="00AA0E56" w:rsidRDefault="00AA0E56">
      <w:pPr>
        <w:rPr>
          <w:color w:val="000000" w:themeColor="text1"/>
        </w:rPr>
      </w:pPr>
    </w:p>
    <w:p w14:paraId="004C2BF5" w14:textId="2DEC3DDB" w:rsidR="00AE52AD" w:rsidRDefault="009651B9" w:rsidP="005E7838">
      <w:pPr>
        <w:rPr>
          <w:color w:val="000000" w:themeColor="text1"/>
        </w:rPr>
        <w:sectPr w:rsidR="00AE52AD" w:rsidSect="009651B9">
          <w:type w:val="continuous"/>
          <w:pgSz w:w="11900" w:h="16850"/>
          <w:pgMar w:top="1340" w:right="1060" w:bottom="1020" w:left="860" w:header="567" w:footer="824" w:gutter="0"/>
          <w:cols w:num="2" w:space="720"/>
          <w:docGrid w:linePitch="299"/>
        </w:sectPr>
      </w:pPr>
      <w:r>
        <w:rPr>
          <w:color w:val="000000" w:themeColor="text1"/>
        </w:rPr>
        <w:lastRenderedPageBreak/>
        <w:t>.</w:t>
      </w:r>
    </w:p>
    <w:tbl>
      <w:tblPr>
        <w:tblStyle w:val="TableGrid"/>
        <w:tblW w:w="10191" w:type="dxa"/>
        <w:tblLook w:val="04A0" w:firstRow="1" w:lastRow="0" w:firstColumn="1" w:lastColumn="0" w:noHBand="0" w:noVBand="1"/>
      </w:tblPr>
      <w:tblGrid>
        <w:gridCol w:w="10191"/>
      </w:tblGrid>
      <w:tr w:rsidR="00AE52AD" w14:paraId="7AC01BA2" w14:textId="77777777" w:rsidTr="00AE52AD">
        <w:trPr>
          <w:cnfStyle w:val="100000000000" w:firstRow="1" w:lastRow="0" w:firstColumn="0" w:lastColumn="0" w:oddVBand="0" w:evenVBand="0" w:oddHBand="0" w:evenHBand="0" w:firstRowFirstColumn="0" w:firstRowLastColumn="0" w:lastRowFirstColumn="0" w:lastRowLastColumn="0"/>
        </w:trPr>
        <w:tc>
          <w:tcPr>
            <w:tcW w:w="10191"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shd w:val="clear" w:color="auto" w:fill="FDE9D9" w:themeFill="accent6" w:themeFillTint="33"/>
          </w:tcPr>
          <w:p w14:paraId="02DD28C4" w14:textId="3338BB59" w:rsidR="00AE52AD" w:rsidRPr="007F50DB" w:rsidRDefault="00AE52AD" w:rsidP="00015ABE">
            <w:pPr>
              <w:pStyle w:val="Caption"/>
              <w:rPr>
                <w:color w:val="F79646" w:themeColor="accent6"/>
                <w:sz w:val="22"/>
                <w:szCs w:val="22"/>
              </w:rPr>
            </w:pPr>
            <w:bookmarkStart w:id="62" w:name="_Toc75940825"/>
            <w:r w:rsidRPr="007F50DB">
              <w:rPr>
                <w:color w:val="F79646" w:themeColor="accent6"/>
                <w:sz w:val="22"/>
                <w:szCs w:val="22"/>
              </w:rPr>
              <w:t xml:space="preserve">Highlight Box </w:t>
            </w:r>
            <w:r w:rsidRPr="007F50DB">
              <w:rPr>
                <w:color w:val="F79646" w:themeColor="accent6"/>
                <w:sz w:val="22"/>
                <w:szCs w:val="22"/>
              </w:rPr>
              <w:fldChar w:fldCharType="begin"/>
            </w:r>
            <w:r w:rsidRPr="007F50DB">
              <w:rPr>
                <w:color w:val="F79646" w:themeColor="accent6"/>
                <w:sz w:val="22"/>
                <w:szCs w:val="22"/>
              </w:rPr>
              <w:instrText xml:space="preserve"> SEQ Highlight_Box \* ARABIC </w:instrText>
            </w:r>
            <w:r w:rsidRPr="007F50DB">
              <w:rPr>
                <w:color w:val="F79646" w:themeColor="accent6"/>
                <w:sz w:val="22"/>
                <w:szCs w:val="22"/>
              </w:rPr>
              <w:fldChar w:fldCharType="separate"/>
            </w:r>
            <w:r w:rsidR="00D93EBF">
              <w:rPr>
                <w:noProof/>
                <w:color w:val="F79646" w:themeColor="accent6"/>
                <w:sz w:val="22"/>
                <w:szCs w:val="22"/>
              </w:rPr>
              <w:t>2</w:t>
            </w:r>
            <w:r w:rsidRPr="007F50DB">
              <w:rPr>
                <w:color w:val="F79646" w:themeColor="accent6"/>
                <w:sz w:val="22"/>
                <w:szCs w:val="22"/>
              </w:rPr>
              <w:fldChar w:fldCharType="end"/>
            </w:r>
            <w:r w:rsidRPr="007F50DB">
              <w:rPr>
                <w:color w:val="F79646" w:themeColor="accent6"/>
                <w:sz w:val="22"/>
                <w:szCs w:val="22"/>
              </w:rPr>
              <w:t xml:space="preserve">: </w:t>
            </w:r>
            <w:bookmarkEnd w:id="62"/>
            <w:r w:rsidR="00F524B7">
              <w:rPr>
                <w:rFonts w:ascii="Segoe UI" w:eastAsiaTheme="minorHAnsi" w:hAnsi="Segoe UI" w:cs="Segoe UI"/>
                <w:color w:val="000000"/>
                <w:szCs w:val="20"/>
                <w:lang w:eastAsia="en-US" w:bidi="ar-SA"/>
              </w:rPr>
              <w:t xml:space="preserve"> Unintended gendered impacts of approaches to paid parental leave</w:t>
            </w:r>
          </w:p>
          <w:p w14:paraId="02DB7D4E" w14:textId="658C5EE3" w:rsidR="00F524B7" w:rsidRPr="00CB7313" w:rsidRDefault="00F524B7" w:rsidP="00015ABE">
            <w:pPr>
              <w:rPr>
                <w:b w:val="0"/>
                <w:szCs w:val="24"/>
              </w:rPr>
            </w:pPr>
            <w:r w:rsidRPr="00CB7313">
              <w:rPr>
                <w:rFonts w:eastAsiaTheme="minorHAnsi"/>
                <w:b w:val="0"/>
                <w:color w:val="000000"/>
                <w:szCs w:val="24"/>
                <w:lang w:eastAsia="en-US" w:bidi="ar-SA"/>
              </w:rPr>
              <w:t>Gendered patterns of practice by parents in Australia in relation to early caregiving can illustrate attachments to rigid gender roles and stereotypical constructions of masculinity and femininity (Our Watch 2020, pp. 98-99). While existing policies aim to address such gendered stereotypes, there can be unintended impacts contained in the design of policies that can produce and support resistance to prevention efforts seeking to challenge gendered stereotypes, such as those responding to the unequal division of paid and unpaid labour between men and women.</w:t>
            </w:r>
          </w:p>
          <w:p w14:paraId="1E103C79" w14:textId="77777777" w:rsidR="00F524B7" w:rsidRPr="00CB7313" w:rsidRDefault="00F524B7" w:rsidP="00015ABE">
            <w:pPr>
              <w:rPr>
                <w:b w:val="0"/>
                <w:szCs w:val="24"/>
              </w:rPr>
            </w:pPr>
          </w:p>
          <w:p w14:paraId="5E0C933B" w14:textId="6A2E8674" w:rsidR="00AE52AD" w:rsidRPr="00CB7313" w:rsidRDefault="00AE52AD" w:rsidP="00015ABE">
            <w:pPr>
              <w:rPr>
                <w:b w:val="0"/>
                <w:szCs w:val="24"/>
              </w:rPr>
            </w:pPr>
            <w:r w:rsidRPr="00CB7313">
              <w:rPr>
                <w:b w:val="0"/>
                <w:szCs w:val="24"/>
              </w:rPr>
              <w:t xml:space="preserve">Policies around paid parental leave have progressed in Australia since the adoption of the </w:t>
            </w:r>
            <w:r w:rsidRPr="00CB7313">
              <w:rPr>
                <w:b w:val="0"/>
                <w:i/>
                <w:iCs/>
                <w:szCs w:val="24"/>
              </w:rPr>
              <w:t>Paid Parental Leave Act</w:t>
            </w:r>
            <w:r w:rsidR="00AA0E56" w:rsidRPr="00CB7313">
              <w:rPr>
                <w:b w:val="0"/>
                <w:i/>
                <w:iCs/>
                <w:szCs w:val="24"/>
              </w:rPr>
              <w:t xml:space="preserve"> 2010</w:t>
            </w:r>
            <w:r w:rsidRPr="00CB7313">
              <w:rPr>
                <w:b w:val="0"/>
                <w:i/>
                <w:iCs/>
                <w:szCs w:val="24"/>
              </w:rPr>
              <w:t xml:space="preserve"> </w:t>
            </w:r>
            <w:r w:rsidR="00AA0E56" w:rsidRPr="00CB7313">
              <w:rPr>
                <w:b w:val="0"/>
                <w:szCs w:val="24"/>
              </w:rPr>
              <w:t>(</w:t>
            </w:r>
            <w:proofErr w:type="spellStart"/>
            <w:r w:rsidR="00AA0E56" w:rsidRPr="00CB7313">
              <w:rPr>
                <w:b w:val="0"/>
                <w:szCs w:val="24"/>
              </w:rPr>
              <w:t>Cth</w:t>
            </w:r>
            <w:proofErr w:type="spellEnd"/>
            <w:r w:rsidR="00AA0E56" w:rsidRPr="00CB7313">
              <w:rPr>
                <w:b w:val="0"/>
                <w:szCs w:val="24"/>
              </w:rPr>
              <w:t xml:space="preserve">) </w:t>
            </w:r>
            <w:r w:rsidRPr="00CB7313">
              <w:rPr>
                <w:b w:val="0"/>
                <w:szCs w:val="24"/>
              </w:rPr>
              <w:t xml:space="preserve">(Baird, </w:t>
            </w:r>
            <w:proofErr w:type="gramStart"/>
            <w:r w:rsidRPr="00CB7313">
              <w:rPr>
                <w:b w:val="0"/>
                <w:szCs w:val="24"/>
              </w:rPr>
              <w:t>Hamilton</w:t>
            </w:r>
            <w:proofErr w:type="gramEnd"/>
            <w:r w:rsidRPr="00CB7313">
              <w:rPr>
                <w:b w:val="0"/>
                <w:szCs w:val="24"/>
              </w:rPr>
              <w:t xml:space="preserve"> and Constantin 2021). </w:t>
            </w:r>
            <w:r w:rsidRPr="00CB7313">
              <w:rPr>
                <w:b w:val="0"/>
              </w:rPr>
              <w:t>P</w:t>
            </w:r>
            <w:r w:rsidRPr="00CB7313">
              <w:rPr>
                <w:b w:val="0"/>
                <w:szCs w:val="24"/>
              </w:rPr>
              <w:t xml:space="preserve">aid parental leave in Australia is a hybrid system that sits at the intersection of </w:t>
            </w:r>
            <w:r w:rsidR="00F524B7" w:rsidRPr="00CB7313">
              <w:rPr>
                <w:b w:val="0"/>
                <w:szCs w:val="24"/>
              </w:rPr>
              <w:t xml:space="preserve">legislative entitlements, </w:t>
            </w:r>
            <w:r w:rsidRPr="00CB7313">
              <w:rPr>
                <w:b w:val="0"/>
                <w:szCs w:val="24"/>
              </w:rPr>
              <w:t>government policies, workplace bargaining outcomes, and company policies. The Paid Parental Leave Act is implemented via the Parental Leave Pay scheme, which grants a primary carer 18 weeks of paid leave at the national minimum wage, without superannuation contributions (Baird et al., 2021, p. 8).</w:t>
            </w:r>
          </w:p>
          <w:p w14:paraId="78C19A4C" w14:textId="77777777" w:rsidR="00AE52AD" w:rsidRPr="00CB7313" w:rsidRDefault="00AE52AD" w:rsidP="00015ABE">
            <w:pPr>
              <w:rPr>
                <w:b w:val="0"/>
                <w:szCs w:val="24"/>
              </w:rPr>
            </w:pPr>
          </w:p>
          <w:p w14:paraId="64F6B7DA" w14:textId="24537CEA" w:rsidR="005265AA" w:rsidRPr="00CB7313" w:rsidRDefault="005265AA" w:rsidP="005265AA">
            <w:pPr>
              <w:rPr>
                <w:b w:val="0"/>
                <w:szCs w:val="24"/>
              </w:rPr>
            </w:pPr>
            <w:r w:rsidRPr="00CB7313">
              <w:rPr>
                <w:b w:val="0"/>
                <w:szCs w:val="24"/>
              </w:rPr>
              <w:t xml:space="preserve">There are </w:t>
            </w:r>
            <w:proofErr w:type="gramStart"/>
            <w:r w:rsidRPr="00CB7313">
              <w:rPr>
                <w:b w:val="0"/>
                <w:szCs w:val="24"/>
              </w:rPr>
              <w:t>a number of</w:t>
            </w:r>
            <w:proofErr w:type="gramEnd"/>
            <w:r w:rsidRPr="00CB7313">
              <w:rPr>
                <w:b w:val="0"/>
                <w:szCs w:val="24"/>
              </w:rPr>
              <w:t xml:space="preserve"> disincentives for men to take parental leave in Australia. For example, the entitlements of ‘primary carer’ are conferred to the birth mother, who then </w:t>
            </w:r>
            <w:proofErr w:type="gramStart"/>
            <w:r w:rsidRPr="00CB7313">
              <w:rPr>
                <w:b w:val="0"/>
                <w:szCs w:val="24"/>
              </w:rPr>
              <w:t>has to</w:t>
            </w:r>
            <w:proofErr w:type="gramEnd"/>
            <w:r w:rsidRPr="00CB7313">
              <w:rPr>
                <w:b w:val="0"/>
                <w:szCs w:val="24"/>
              </w:rPr>
              <w:t xml:space="preserve"> transfer the entitlement to the father or partner if they are to be the primary carer. Other disincentives include payment at minimum wage (approximately 40% of average male full-time earnings), and stigma attached to men taking paternity leave or flexible work options. Data indicates that participation in the </w:t>
            </w:r>
            <w:proofErr w:type="gramStart"/>
            <w:r w:rsidRPr="00CB7313">
              <w:rPr>
                <w:b w:val="0"/>
                <w:szCs w:val="24"/>
              </w:rPr>
              <w:t>Dad</w:t>
            </w:r>
            <w:proofErr w:type="gramEnd"/>
            <w:r w:rsidRPr="00CB7313">
              <w:rPr>
                <w:b w:val="0"/>
                <w:szCs w:val="24"/>
              </w:rPr>
              <w:t xml:space="preserve"> and Partner Pay Leave Scheme remain low, with only 25% of eligible men and partners participating (Baird et al., 2021, p. 9). </w:t>
            </w:r>
          </w:p>
          <w:p w14:paraId="67F80E45" w14:textId="77777777" w:rsidR="005265AA" w:rsidRPr="00CB7313" w:rsidRDefault="005265AA" w:rsidP="005265AA">
            <w:pPr>
              <w:rPr>
                <w:b w:val="0"/>
                <w:szCs w:val="24"/>
              </w:rPr>
            </w:pPr>
          </w:p>
          <w:p w14:paraId="3248525F" w14:textId="77777777" w:rsidR="005265AA" w:rsidRPr="00CB7313" w:rsidRDefault="005265AA" w:rsidP="005265AA">
            <w:pPr>
              <w:rPr>
                <w:b w:val="0"/>
                <w:szCs w:val="24"/>
              </w:rPr>
            </w:pPr>
            <w:r w:rsidRPr="00CB7313">
              <w:rPr>
                <w:b w:val="0"/>
                <w:szCs w:val="24"/>
              </w:rPr>
              <w:t xml:space="preserve">As a result, this can result in barriers to women’s return to work, particularly when combined with high costs of childcare. This can have far reaching impacts on women’s mobility and financial autonomy and security, including women’s labour market participation, employment opportunities such as retention and promotions, as well as long-term financial security such as women’s diminished superannuation contributions and retirement savings. This sustains gender inequalities and stereotypes around leadership and decision-making in private and public and women’s vulnerability to coercion and financial abuse and inability to leave potentially violent relationships. </w:t>
            </w:r>
          </w:p>
          <w:p w14:paraId="1B8CD02B" w14:textId="77777777" w:rsidR="005265AA" w:rsidRPr="00CB7313" w:rsidRDefault="005265AA" w:rsidP="005265AA">
            <w:pPr>
              <w:rPr>
                <w:b w:val="0"/>
                <w:szCs w:val="24"/>
              </w:rPr>
            </w:pPr>
          </w:p>
          <w:p w14:paraId="639F8BB9" w14:textId="5E3D4A0D" w:rsidR="00AE52AD" w:rsidRDefault="005265AA">
            <w:pPr>
              <w:keepNext/>
            </w:pPr>
            <w:r w:rsidRPr="00CB7313">
              <w:rPr>
                <w:b w:val="0"/>
                <w:szCs w:val="24"/>
              </w:rPr>
              <w:t>Parental leave entitlements and policies have the potential to challenge gender stereotypes (such as who is the primary carer of children and who is the breadwinner). However, they can also contain unintended elements of appeasement and appropriation that are embedded into the design which limit the effectiveness of such policies in contributing to long-term change to achieve primary prevention aims.</w:t>
            </w:r>
            <w:r w:rsidRPr="00A27EB0">
              <w:rPr>
                <w:szCs w:val="24"/>
              </w:rPr>
              <w:t xml:space="preserve"> </w:t>
            </w:r>
          </w:p>
        </w:tc>
      </w:tr>
    </w:tbl>
    <w:p w14:paraId="05C6248E" w14:textId="1B09AF78" w:rsidR="00AE52AD" w:rsidRDefault="00AE52AD" w:rsidP="005E7838">
      <w:pPr>
        <w:rPr>
          <w:color w:val="000000" w:themeColor="text1"/>
        </w:rPr>
      </w:pPr>
    </w:p>
    <w:p w14:paraId="5D9D4C8F" w14:textId="768EEC1A" w:rsidR="00CB7313" w:rsidRDefault="00CB7313" w:rsidP="005E7838">
      <w:pPr>
        <w:rPr>
          <w:color w:val="000000" w:themeColor="text1"/>
        </w:rPr>
      </w:pPr>
    </w:p>
    <w:p w14:paraId="64049FB3" w14:textId="206F726B" w:rsidR="00CB7313" w:rsidRDefault="00CB7313" w:rsidP="005E7838">
      <w:pPr>
        <w:rPr>
          <w:color w:val="000000" w:themeColor="text1"/>
        </w:rPr>
      </w:pPr>
    </w:p>
    <w:p w14:paraId="2D6CDA3D" w14:textId="77777777" w:rsidR="00CB7313" w:rsidRDefault="00CB7313" w:rsidP="005E7838">
      <w:pPr>
        <w:rPr>
          <w:color w:val="000000" w:themeColor="text1"/>
        </w:rPr>
      </w:pPr>
    </w:p>
    <w:p w14:paraId="65289469" w14:textId="0D706F5C" w:rsidR="00CB7313" w:rsidRDefault="00CB7313" w:rsidP="005E7838">
      <w:pPr>
        <w:rPr>
          <w:color w:val="000000" w:themeColor="text1"/>
        </w:rPr>
        <w:sectPr w:rsidR="00CB7313" w:rsidSect="00AE52AD">
          <w:type w:val="continuous"/>
          <w:pgSz w:w="11900" w:h="16850"/>
          <w:pgMar w:top="1340" w:right="1060" w:bottom="1020" w:left="860" w:header="567" w:footer="824" w:gutter="0"/>
          <w:cols w:space="720"/>
          <w:docGrid w:linePitch="299"/>
        </w:sectPr>
      </w:pPr>
    </w:p>
    <w:p w14:paraId="14E34865" w14:textId="6C6AEEC6" w:rsidR="006A40E7" w:rsidRPr="00D93763" w:rsidRDefault="00AE52AD" w:rsidP="00AE52AD">
      <w:pPr>
        <w:pStyle w:val="Mainbody-subheadings"/>
        <w:spacing w:before="120"/>
      </w:pPr>
      <w:bookmarkStart w:id="63" w:name="_Toc85620729"/>
      <w:bookmarkStart w:id="64" w:name="_Toc87526316"/>
      <w:r>
        <w:lastRenderedPageBreak/>
        <w:t>Appropriation</w:t>
      </w:r>
      <w:bookmarkEnd w:id="63"/>
      <w:bookmarkEnd w:id="64"/>
    </w:p>
    <w:p w14:paraId="280952E8" w14:textId="77777777" w:rsidR="00AE52AD" w:rsidRPr="00437FB5" w:rsidRDefault="00AE52AD" w:rsidP="00AE52AD">
      <w:r w:rsidRPr="00437FB5">
        <w:rPr>
          <w:color w:val="000000" w:themeColor="text1"/>
        </w:rPr>
        <w:t xml:space="preserve">Appropriation involves an institution or individual creating the </w:t>
      </w:r>
      <w:r w:rsidRPr="00437FB5">
        <w:rPr>
          <w:i/>
          <w:iCs/>
          <w:color w:val="000000" w:themeColor="text1"/>
        </w:rPr>
        <w:t>perception</w:t>
      </w:r>
      <w:r w:rsidRPr="00437FB5">
        <w:rPr>
          <w:color w:val="000000" w:themeColor="text1"/>
        </w:rPr>
        <w:t xml:space="preserve"> that gender equality is a shared goal or principle, but then avoiding taking the kinds of actions that would help achieve it (or stalling, </w:t>
      </w:r>
      <w:proofErr w:type="gramStart"/>
      <w:r w:rsidRPr="00437FB5">
        <w:rPr>
          <w:color w:val="000000" w:themeColor="text1"/>
        </w:rPr>
        <w:t>hindering</w:t>
      </w:r>
      <w:proofErr w:type="gramEnd"/>
      <w:r w:rsidRPr="00437FB5">
        <w:rPr>
          <w:color w:val="000000" w:themeColor="text1"/>
        </w:rPr>
        <w:t xml:space="preserve"> or undermining such actions</w:t>
      </w:r>
      <w:r>
        <w:rPr>
          <w:color w:val="000000" w:themeColor="text1"/>
        </w:rPr>
        <w:t xml:space="preserve"> leading to inaction</w:t>
      </w:r>
      <w:r w:rsidRPr="00437FB5">
        <w:rPr>
          <w:color w:val="000000" w:themeColor="text1"/>
        </w:rPr>
        <w:t xml:space="preserve">). This occurs, for example, when organisational leaders state a commitment to gender equality, but fail to develop a meaningful strategy to address it. It can also occur when a strategy is developed, but no resources (both human and financial) are allocated to it, or when changes to problematic policies, structures or processes are continually avoided or postponed, or there is a lack of support for the education and capacity building initiatives that are required. </w:t>
      </w:r>
    </w:p>
    <w:p w14:paraId="08BE504C" w14:textId="77777777" w:rsidR="00AE52AD" w:rsidRPr="00437FB5" w:rsidRDefault="00AE52AD" w:rsidP="00AE52AD"/>
    <w:p w14:paraId="0385A910" w14:textId="77777777" w:rsidR="00AE52AD" w:rsidRDefault="00AE52AD" w:rsidP="00AE52AD">
      <w:pPr>
        <w:contextualSpacing/>
        <w:rPr>
          <w:color w:val="000000" w:themeColor="text1"/>
        </w:rPr>
      </w:pPr>
      <w:r w:rsidRPr="00437FB5">
        <w:rPr>
          <w:color w:val="000000" w:themeColor="text1"/>
        </w:rPr>
        <w:t>Adopting primary prevention but conflating the concepts of sex and gender is also a form of appropriation, where there are attempts to revert to language such as sex-based roles due to appeals that ‘gender is too hard to understand’.</w:t>
      </w:r>
      <w:r w:rsidRPr="00437FB5">
        <w:rPr>
          <w:rStyle w:val="FootnoteReference"/>
          <w:color w:val="000000" w:themeColor="text1"/>
        </w:rPr>
        <w:footnoteReference w:id="12"/>
      </w:r>
      <w:r w:rsidRPr="00437FB5">
        <w:rPr>
          <w:color w:val="000000" w:themeColor="text1"/>
        </w:rPr>
        <w:t xml:space="preserve"> This depoliticises gendered approaches to understanding why and how violence occurs (See </w:t>
      </w:r>
      <w:proofErr w:type="spellStart"/>
      <w:r w:rsidRPr="00437FB5">
        <w:rPr>
          <w:color w:val="000000" w:themeColor="text1"/>
        </w:rPr>
        <w:t>Dragiewicz</w:t>
      </w:r>
      <w:proofErr w:type="spellEnd"/>
      <w:r w:rsidRPr="00437FB5">
        <w:rPr>
          <w:color w:val="000000" w:themeColor="text1"/>
        </w:rPr>
        <w:t xml:space="preserve">, 2011, Chapter 6). As </w:t>
      </w:r>
      <w:proofErr w:type="spellStart"/>
      <w:r w:rsidRPr="00437FB5">
        <w:rPr>
          <w:color w:val="000000" w:themeColor="text1"/>
        </w:rPr>
        <w:t>Dragiewicz</w:t>
      </w:r>
      <w:proofErr w:type="spellEnd"/>
      <w:r w:rsidRPr="00437FB5">
        <w:rPr>
          <w:color w:val="000000" w:themeColor="text1"/>
        </w:rPr>
        <w:t xml:space="preserve"> (2011, p. 84) observes, “the failure to distinguish between sex and gender has a high cost” in attempting to understand and prevent gendered violence, where the “conceptual distinction between sex and gender is a valuable one to disentangle biological and social contributions to human behaviour, health, and social problems”. Gendered social rules and behaviours dictate structures, </w:t>
      </w:r>
      <w:proofErr w:type="gramStart"/>
      <w:r w:rsidRPr="00437FB5">
        <w:rPr>
          <w:color w:val="000000" w:themeColor="text1"/>
        </w:rPr>
        <w:t>norms</w:t>
      </w:r>
      <w:proofErr w:type="gramEnd"/>
      <w:r w:rsidRPr="00437FB5">
        <w:rPr>
          <w:color w:val="000000" w:themeColor="text1"/>
        </w:rPr>
        <w:t xml:space="preserve"> and practices and these are fluid dependent on time and context. </w:t>
      </w:r>
    </w:p>
    <w:p w14:paraId="387BF1F9" w14:textId="77777777" w:rsidR="00AE52AD" w:rsidRDefault="00AE52AD" w:rsidP="00AE52AD">
      <w:pPr>
        <w:contextualSpacing/>
        <w:rPr>
          <w:color w:val="000000" w:themeColor="text1"/>
        </w:rPr>
      </w:pPr>
    </w:p>
    <w:p w14:paraId="1937BFDC" w14:textId="19DE4A32" w:rsidR="00AE52AD" w:rsidRDefault="00AE52AD" w:rsidP="00AE52AD">
      <w:pPr>
        <w:contextualSpacing/>
        <w:rPr>
          <w:color w:val="000000" w:themeColor="text1"/>
        </w:rPr>
      </w:pPr>
      <w:r w:rsidRPr="00437FB5">
        <w:rPr>
          <w:color w:val="000000" w:themeColor="text1"/>
        </w:rPr>
        <w:t xml:space="preserve">By removing gender conceptually, the hierarchical power relations and </w:t>
      </w:r>
      <w:r w:rsidRPr="00437FB5">
        <w:rPr>
          <w:color w:val="000000" w:themeColor="text1"/>
        </w:rPr>
        <w:t xml:space="preserve">characteristics of masculinities and femininities are removed from the conversation around what drives violence against women. </w:t>
      </w:r>
      <w:r w:rsidR="00AA0E56">
        <w:rPr>
          <w:color w:val="000000" w:themeColor="text1"/>
        </w:rPr>
        <w:t xml:space="preserve">This may have the effect of silencing people who do </w:t>
      </w:r>
      <w:r w:rsidRPr="00437FB5">
        <w:rPr>
          <w:color w:val="000000" w:themeColor="text1"/>
        </w:rPr>
        <w:t xml:space="preserve">not identify with the binary categories of male and female (Rainbow Health 2020). </w:t>
      </w:r>
    </w:p>
    <w:p w14:paraId="39D9F9D6" w14:textId="77777777" w:rsidR="00AE52AD" w:rsidRDefault="00AE52AD" w:rsidP="00AE52AD">
      <w:pPr>
        <w:contextualSpacing/>
        <w:rPr>
          <w:color w:val="000000" w:themeColor="text1"/>
        </w:rPr>
      </w:pPr>
    </w:p>
    <w:p w14:paraId="081B2810" w14:textId="7FD12BEA" w:rsidR="00AE52AD" w:rsidRPr="00437FB5" w:rsidRDefault="00AE52AD" w:rsidP="00AE52AD">
      <w:pPr>
        <w:contextualSpacing/>
        <w:rPr>
          <w:color w:val="000000" w:themeColor="text1"/>
        </w:rPr>
      </w:pPr>
      <w:r w:rsidRPr="00437FB5">
        <w:rPr>
          <w:color w:val="000000" w:themeColor="text1"/>
        </w:rPr>
        <w:t xml:space="preserve">For example, in school-based respectful relationships education programs, due to resistance to a gender-based analysis of violence against women from some teachers, schools and students, </w:t>
      </w:r>
      <w:r>
        <w:rPr>
          <w:color w:val="000000" w:themeColor="text1"/>
        </w:rPr>
        <w:t>‘</w:t>
      </w:r>
      <w:r w:rsidRPr="00437FB5">
        <w:rPr>
          <w:color w:val="000000" w:themeColor="text1"/>
        </w:rPr>
        <w:t>gender-neutral</w:t>
      </w:r>
      <w:r>
        <w:rPr>
          <w:color w:val="000000" w:themeColor="text1"/>
        </w:rPr>
        <w:t>’</w:t>
      </w:r>
      <w:r w:rsidRPr="00437FB5">
        <w:rPr>
          <w:color w:val="000000" w:themeColor="text1"/>
        </w:rPr>
        <w:t xml:space="preserve"> content has been adopted and explanations of violence have been framed in terms of individual behaviour rather than exploring the social and structural elements that drive violence against women (Our Watch 2021</w:t>
      </w:r>
      <w:r>
        <w:rPr>
          <w:color w:val="000000" w:themeColor="text1"/>
        </w:rPr>
        <w:t>a</w:t>
      </w:r>
      <w:r w:rsidRPr="00437FB5">
        <w:rPr>
          <w:color w:val="000000" w:themeColor="text1"/>
        </w:rPr>
        <w:t xml:space="preserve">). Adopting a change initiative but diluting its </w:t>
      </w:r>
      <w:r w:rsidR="00AA0E56">
        <w:rPr>
          <w:color w:val="000000" w:themeColor="text1"/>
        </w:rPr>
        <w:t>evidence-based and gendered</w:t>
      </w:r>
      <w:r w:rsidR="00AA0E56" w:rsidRPr="00437FB5">
        <w:rPr>
          <w:color w:val="000000" w:themeColor="text1"/>
        </w:rPr>
        <w:t xml:space="preserve"> </w:t>
      </w:r>
      <w:r w:rsidRPr="00437FB5">
        <w:rPr>
          <w:color w:val="000000" w:themeColor="text1"/>
        </w:rPr>
        <w:t xml:space="preserve">underpinnings through appropriation undermines the purpose of such change. </w:t>
      </w:r>
    </w:p>
    <w:p w14:paraId="14DCA6FC" w14:textId="77777777" w:rsidR="00AE52AD" w:rsidRPr="00437FB5" w:rsidRDefault="00AE52AD" w:rsidP="00AE52AD">
      <w:pPr>
        <w:contextualSpacing/>
        <w:rPr>
          <w:color w:val="000000" w:themeColor="text1"/>
        </w:rPr>
      </w:pPr>
    </w:p>
    <w:p w14:paraId="452AA77B" w14:textId="1B78E7FA" w:rsidR="00AE52AD" w:rsidRDefault="00AE52AD" w:rsidP="00AE52AD">
      <w:pPr>
        <w:rPr>
          <w:color w:val="000000" w:themeColor="text1"/>
        </w:rPr>
      </w:pPr>
      <w:r w:rsidRPr="00437FB5">
        <w:rPr>
          <w:color w:val="000000" w:themeColor="text1"/>
        </w:rPr>
        <w:t>When there is a commitment to action to address the gendered drivers of violence against women, but the responsibility for that action is placed on</w:t>
      </w:r>
      <w:r w:rsidRPr="00437FB5">
        <w:rPr>
          <w:i/>
          <w:iCs/>
          <w:color w:val="000000" w:themeColor="text1"/>
        </w:rPr>
        <w:t xml:space="preserve"> </w:t>
      </w:r>
      <w:r w:rsidRPr="00437FB5">
        <w:rPr>
          <w:color w:val="000000" w:themeColor="text1"/>
        </w:rPr>
        <w:t xml:space="preserve">women, there can be an appropriation of women’s representation. </w:t>
      </w:r>
      <w:r w:rsidR="00AA0E56" w:rsidRPr="00AA0E56">
        <w:rPr>
          <w:color w:val="000000" w:themeColor="text1"/>
        </w:rPr>
        <w:t xml:space="preserve">This may include, for example, setting up a working group or body to address sexual harassment within an institution, but appointing mainly women to the group. </w:t>
      </w:r>
    </w:p>
    <w:p w14:paraId="012F53C0" w14:textId="77777777" w:rsidR="00AE52AD" w:rsidRDefault="00AE52AD" w:rsidP="00AE52AD">
      <w:pPr>
        <w:rPr>
          <w:color w:val="000000" w:themeColor="text1"/>
        </w:rPr>
      </w:pPr>
    </w:p>
    <w:p w14:paraId="6AEDB55D" w14:textId="77777777" w:rsidR="00AE52AD" w:rsidRDefault="00AE52AD" w:rsidP="00AE52AD">
      <w:pPr>
        <w:rPr>
          <w:color w:val="000000" w:themeColor="text1"/>
        </w:rPr>
      </w:pPr>
      <w:r>
        <w:rPr>
          <w:color w:val="000000" w:themeColor="text1"/>
        </w:rPr>
        <w:t>Consequently, r</w:t>
      </w:r>
      <w:r w:rsidRPr="00437FB5">
        <w:rPr>
          <w:color w:val="000000" w:themeColor="text1"/>
        </w:rPr>
        <w:t>esponsibility for changing men’s behaviour is put back on those who are most negatively impacted by these behaviours and cultures, and who are also disadvantaged by the gendered structures, norms and practices they are working in. Women’s participation is critical</w:t>
      </w:r>
      <w:r>
        <w:rPr>
          <w:color w:val="000000" w:themeColor="text1"/>
        </w:rPr>
        <w:t xml:space="preserve"> </w:t>
      </w:r>
      <w:r w:rsidRPr="00437FB5">
        <w:rPr>
          <w:color w:val="000000" w:themeColor="text1"/>
        </w:rPr>
        <w:t xml:space="preserve">and should drive the priorities of addressing violence against women; however, addressing this problem should not </w:t>
      </w:r>
      <w:r>
        <w:rPr>
          <w:color w:val="000000" w:themeColor="text1"/>
        </w:rPr>
        <w:t xml:space="preserve">only </w:t>
      </w:r>
      <w:r w:rsidRPr="00437FB5">
        <w:rPr>
          <w:color w:val="000000" w:themeColor="text1"/>
        </w:rPr>
        <w:t xml:space="preserve">be women’s </w:t>
      </w:r>
      <w:r w:rsidRPr="00437FB5">
        <w:rPr>
          <w:color w:val="000000" w:themeColor="text1"/>
        </w:rPr>
        <w:lastRenderedPageBreak/>
        <w:t xml:space="preserve">responsibility. </w:t>
      </w:r>
    </w:p>
    <w:p w14:paraId="7053CBCB" w14:textId="77777777" w:rsidR="00AE52AD" w:rsidRDefault="00AE52AD" w:rsidP="00AE52AD">
      <w:pPr>
        <w:rPr>
          <w:color w:val="000000" w:themeColor="text1"/>
        </w:rPr>
      </w:pPr>
    </w:p>
    <w:p w14:paraId="6FFEDBB9" w14:textId="619D95DA" w:rsidR="00AE52AD" w:rsidRDefault="00AE52AD" w:rsidP="00AE52AD">
      <w:pPr>
        <w:rPr>
          <w:color w:val="000000" w:themeColor="text1"/>
        </w:rPr>
      </w:pPr>
      <w:r>
        <w:rPr>
          <w:color w:val="000000" w:themeColor="text1"/>
        </w:rPr>
        <w:t>Challenging</w:t>
      </w:r>
      <w:r w:rsidRPr="00437FB5">
        <w:rPr>
          <w:color w:val="000000" w:themeColor="text1"/>
        </w:rPr>
        <w:t xml:space="preserve"> the gendered drivers of violence against women requires participation from entire populations, </w:t>
      </w:r>
      <w:r>
        <w:rPr>
          <w:color w:val="000000" w:themeColor="text1"/>
        </w:rPr>
        <w:t>especially</w:t>
      </w:r>
      <w:r w:rsidRPr="00437FB5">
        <w:rPr>
          <w:color w:val="000000" w:themeColor="text1"/>
        </w:rPr>
        <w:t xml:space="preserve"> men and perpetrators/potential perpetrators, rather than just the victims of that violence. It ultimately sidelines the recognition and responsibility of addressing violence against women as a women’s issue, and therefore ‘women’s work’ (Crooks et al., 2007).  Moreover, when only one ‘type’ of woman is represented to change gendered structures, </w:t>
      </w:r>
      <w:proofErr w:type="gramStart"/>
      <w:r w:rsidRPr="00437FB5">
        <w:rPr>
          <w:color w:val="000000" w:themeColor="text1"/>
        </w:rPr>
        <w:t>practices</w:t>
      </w:r>
      <w:proofErr w:type="gramEnd"/>
      <w:r w:rsidRPr="00437FB5">
        <w:rPr>
          <w:color w:val="000000" w:themeColor="text1"/>
        </w:rPr>
        <w:t xml:space="preserve"> and norms, it marginalises and silences other experiences of sexism and misogyny that are influenced by other intersectional power dynamics, such as racism, homophobia, transphobia and ableism (</w:t>
      </w:r>
      <w:r w:rsidR="00AA0E56">
        <w:rPr>
          <w:color w:val="000000" w:themeColor="text1"/>
        </w:rPr>
        <w:t>Our Watch, 2018; Rainbow Health, 2020)</w:t>
      </w:r>
      <w:r w:rsidRPr="00437FB5">
        <w:rPr>
          <w:color w:val="000000" w:themeColor="text1"/>
        </w:rPr>
        <w:t xml:space="preserve">). </w:t>
      </w:r>
    </w:p>
    <w:p w14:paraId="4CFF95C5" w14:textId="77777777" w:rsidR="00AE52AD" w:rsidRDefault="00AE52AD" w:rsidP="00AE52AD">
      <w:pPr>
        <w:rPr>
          <w:color w:val="000000" w:themeColor="text1"/>
        </w:rPr>
      </w:pPr>
    </w:p>
    <w:p w14:paraId="04218774" w14:textId="77777777" w:rsidR="00AE52AD" w:rsidRPr="00437FB5" w:rsidRDefault="00AE52AD" w:rsidP="00AE52AD">
      <w:r>
        <w:t>Appropriation may be a continuation of the status quo, but also very deliberate. For example, an institution or individual such as a leader must look like they are doing something for various reasons (</w:t>
      </w:r>
      <w:proofErr w:type="gramStart"/>
      <w:r>
        <w:t>e.g.</w:t>
      </w:r>
      <w:proofErr w:type="gramEnd"/>
      <w:r>
        <w:t xml:space="preserve"> public opinion, shareholders) while simultaneously limiting any meaningful action, or even putting in place mechanisms that are contrary to evidence and best-practice related to primary prevention of violence against women. </w:t>
      </w:r>
    </w:p>
    <w:p w14:paraId="7E6277F5" w14:textId="77777777" w:rsidR="00AE52AD" w:rsidRPr="00437FB5" w:rsidRDefault="00AE52AD" w:rsidP="00AE52AD">
      <w:pPr>
        <w:rPr>
          <w:color w:val="000000" w:themeColor="text1"/>
        </w:rPr>
      </w:pPr>
    </w:p>
    <w:p w14:paraId="06BA8E40" w14:textId="0CA799F3" w:rsidR="00AE52AD" w:rsidRPr="00D93763" w:rsidRDefault="00AE52AD" w:rsidP="00AE52AD">
      <w:pPr>
        <w:pStyle w:val="Mainbody-subheadings"/>
        <w:spacing w:before="120"/>
      </w:pPr>
      <w:bookmarkStart w:id="65" w:name="_Toc85620730"/>
      <w:bookmarkStart w:id="66" w:name="_Toc87526317"/>
      <w:r>
        <w:t>Co-option</w:t>
      </w:r>
      <w:bookmarkEnd w:id="65"/>
      <w:bookmarkEnd w:id="66"/>
    </w:p>
    <w:p w14:paraId="242BECEC" w14:textId="77777777" w:rsidR="00AA0E56" w:rsidRDefault="000D7FA6" w:rsidP="003F1DEA">
      <w:pPr>
        <w:contextualSpacing/>
        <w:rPr>
          <w:color w:val="000000" w:themeColor="text1"/>
        </w:rPr>
      </w:pPr>
      <w:r w:rsidRPr="00437FB5">
        <w:rPr>
          <w:color w:val="000000" w:themeColor="text1"/>
        </w:rPr>
        <w:t>Co-option</w:t>
      </w:r>
      <w:r w:rsidR="003F1DEA" w:rsidRPr="00437FB5">
        <w:rPr>
          <w:color w:val="000000" w:themeColor="text1"/>
        </w:rPr>
        <w:t xml:space="preserve"> is using the language of progressive frameworks and goals (‘equality’, ‘rights’, ‘justice’ and so on) to defend and maintain unequal structures and practices. </w:t>
      </w:r>
    </w:p>
    <w:p w14:paraId="08FF7D4E" w14:textId="77777777" w:rsidR="00AA0E56" w:rsidRDefault="00AA0E56" w:rsidP="003F1DEA">
      <w:pPr>
        <w:contextualSpacing/>
        <w:rPr>
          <w:color w:val="000000" w:themeColor="text1"/>
        </w:rPr>
      </w:pPr>
    </w:p>
    <w:p w14:paraId="327AB1D2" w14:textId="3B2BB134" w:rsidR="00AA0E56" w:rsidRDefault="000D7FA6" w:rsidP="003F1DEA">
      <w:pPr>
        <w:contextualSpacing/>
        <w:rPr>
          <w:rFonts w:cs="Calibri"/>
          <w:color w:val="000000" w:themeColor="text1"/>
        </w:rPr>
      </w:pPr>
      <w:r w:rsidRPr="00437FB5">
        <w:rPr>
          <w:rFonts w:cs="Calibri"/>
          <w:color w:val="000000" w:themeColor="text1"/>
        </w:rPr>
        <w:t>Co-option</w:t>
      </w:r>
      <w:r w:rsidR="003F1DEA" w:rsidRPr="00437FB5">
        <w:rPr>
          <w:rFonts w:cs="Calibri"/>
          <w:color w:val="000000" w:themeColor="text1"/>
        </w:rPr>
        <w:t xml:space="preserve"> of feminist goals is common and has most clearly been centred on interpersonal violence and perceived unfair changes to laws related to divorce, child custody, support payments and family violence (</w:t>
      </w:r>
      <w:proofErr w:type="spellStart"/>
      <w:r w:rsidR="003F1DEA" w:rsidRPr="00437FB5">
        <w:rPr>
          <w:rFonts w:cs="Calibri"/>
          <w:color w:val="000000" w:themeColor="text1"/>
        </w:rPr>
        <w:t>Behre</w:t>
      </w:r>
      <w:proofErr w:type="spellEnd"/>
      <w:r w:rsidR="003F1DEA" w:rsidRPr="00437FB5">
        <w:rPr>
          <w:rFonts w:cs="Calibri"/>
          <w:color w:val="000000" w:themeColor="text1"/>
        </w:rPr>
        <w:t xml:space="preserve"> 2015; Dinner 2016; Flood </w:t>
      </w:r>
      <w:r w:rsidR="003F1DEA" w:rsidRPr="00437FB5">
        <w:rPr>
          <w:rFonts w:cs="Calibri"/>
          <w:color w:val="000000" w:themeColor="text1"/>
        </w:rPr>
        <w:t xml:space="preserve">2010). </w:t>
      </w:r>
    </w:p>
    <w:p w14:paraId="2E77226A" w14:textId="77777777" w:rsidR="003F1DEA" w:rsidRDefault="003F1DEA" w:rsidP="003F1DEA">
      <w:pPr>
        <w:contextualSpacing/>
        <w:rPr>
          <w:rFonts w:cs="Calibri"/>
          <w:color w:val="000000" w:themeColor="text1"/>
        </w:rPr>
      </w:pPr>
    </w:p>
    <w:p w14:paraId="018CDA41" w14:textId="78FA4154" w:rsidR="003F1DEA" w:rsidRDefault="003F1DEA" w:rsidP="003F1DEA">
      <w:pPr>
        <w:contextualSpacing/>
        <w:rPr>
          <w:color w:val="000000" w:themeColor="text1"/>
        </w:rPr>
      </w:pPr>
      <w:r w:rsidRPr="00437FB5">
        <w:rPr>
          <w:rFonts w:cs="Calibri"/>
          <w:color w:val="000000" w:themeColor="text1"/>
        </w:rPr>
        <w:t xml:space="preserve">Attempts to shift focus in </w:t>
      </w:r>
      <w:r w:rsidR="00AA0E56">
        <w:rPr>
          <w:rFonts w:cs="Calibri"/>
          <w:color w:val="000000" w:themeColor="text1"/>
        </w:rPr>
        <w:t xml:space="preserve">this context </w:t>
      </w:r>
      <w:r w:rsidRPr="00437FB5">
        <w:rPr>
          <w:rFonts w:cs="Calibri"/>
          <w:color w:val="000000" w:themeColor="text1"/>
        </w:rPr>
        <w:t xml:space="preserve">from intimate partner violence and victim safety to an emphasis on false accusations and fathers’ alienation from their families and children has had relative success in influencing law reform and common </w:t>
      </w:r>
      <w:r w:rsidRPr="003F1DEA">
        <w:rPr>
          <w:color w:val="000000" w:themeColor="text1"/>
        </w:rPr>
        <w:t>attitudes (</w:t>
      </w:r>
      <w:proofErr w:type="spellStart"/>
      <w:r w:rsidRPr="003F1DEA">
        <w:rPr>
          <w:color w:val="000000" w:themeColor="text1"/>
        </w:rPr>
        <w:t>Behre</w:t>
      </w:r>
      <w:proofErr w:type="spellEnd"/>
      <w:r w:rsidRPr="003F1DEA">
        <w:rPr>
          <w:color w:val="000000" w:themeColor="text1"/>
        </w:rPr>
        <w:t xml:space="preserve"> 2015; Pease 2011, pp. 11-12). </w:t>
      </w:r>
      <w:r w:rsidR="00AA0E56">
        <w:rPr>
          <w:color w:val="000000" w:themeColor="text1"/>
        </w:rPr>
        <w:t xml:space="preserve">While </w:t>
      </w:r>
      <w:r w:rsidRPr="003F1DEA">
        <w:rPr>
          <w:color w:val="000000" w:themeColor="text1"/>
        </w:rPr>
        <w:t xml:space="preserve">these discourses portray themselves to be progressive appeals because they use the language of rights, </w:t>
      </w:r>
      <w:proofErr w:type="gramStart"/>
      <w:r w:rsidRPr="003F1DEA">
        <w:rPr>
          <w:color w:val="000000" w:themeColor="text1"/>
        </w:rPr>
        <w:t>in reality they</w:t>
      </w:r>
      <w:proofErr w:type="gramEnd"/>
      <w:r w:rsidRPr="003F1DEA">
        <w:rPr>
          <w:color w:val="000000" w:themeColor="text1"/>
        </w:rPr>
        <w:t xml:space="preserve"> are a deliberate </w:t>
      </w:r>
      <w:r w:rsidR="001D6DDA" w:rsidRPr="003F1DEA">
        <w:rPr>
          <w:color w:val="000000" w:themeColor="text1"/>
        </w:rPr>
        <w:t>co-option</w:t>
      </w:r>
      <w:r w:rsidRPr="003F1DEA">
        <w:rPr>
          <w:color w:val="000000" w:themeColor="text1"/>
        </w:rPr>
        <w:t xml:space="preserve"> of gender equality frameworks and goals to maintain unequal gender structures and defend men’s privilege (</w:t>
      </w:r>
      <w:proofErr w:type="spellStart"/>
      <w:r w:rsidRPr="003F1DEA">
        <w:rPr>
          <w:color w:val="000000" w:themeColor="text1"/>
        </w:rPr>
        <w:t>Behre</w:t>
      </w:r>
      <w:proofErr w:type="spellEnd"/>
      <w:r w:rsidRPr="003F1DEA">
        <w:rPr>
          <w:color w:val="000000" w:themeColor="text1"/>
        </w:rPr>
        <w:t xml:space="preserve"> 2015; Pease 2008). </w:t>
      </w:r>
    </w:p>
    <w:p w14:paraId="23BFA16D" w14:textId="77777777" w:rsidR="003F1DEA" w:rsidRDefault="003F1DEA" w:rsidP="003F1DEA">
      <w:pPr>
        <w:contextualSpacing/>
        <w:rPr>
          <w:color w:val="000000" w:themeColor="text1"/>
        </w:rPr>
      </w:pPr>
    </w:p>
    <w:p w14:paraId="45EAF8F0" w14:textId="33B9A750" w:rsidR="003F1DEA" w:rsidRPr="00437FB5" w:rsidRDefault="003F1DEA" w:rsidP="003F1DEA">
      <w:pPr>
        <w:contextualSpacing/>
        <w:rPr>
          <w:color w:val="000000" w:themeColor="text1"/>
        </w:rPr>
      </w:pPr>
      <w:r w:rsidRPr="003F1DEA">
        <w:rPr>
          <w:color w:val="000000" w:themeColor="text1"/>
        </w:rPr>
        <w:t xml:space="preserve">For example, in Australia, decades of lobbying in the 1990s by father’s rights groups </w:t>
      </w:r>
      <w:r w:rsidR="00AA0E56">
        <w:rPr>
          <w:color w:val="000000" w:themeColor="text1"/>
        </w:rPr>
        <w:t>contributed</w:t>
      </w:r>
      <w:r w:rsidR="00AA0E56" w:rsidRPr="003F1DEA">
        <w:rPr>
          <w:color w:val="000000" w:themeColor="text1"/>
        </w:rPr>
        <w:t xml:space="preserve"> </w:t>
      </w:r>
      <w:r w:rsidRPr="003F1DEA">
        <w:rPr>
          <w:color w:val="000000" w:themeColor="text1"/>
        </w:rPr>
        <w:t xml:space="preserve">to the reform of the </w:t>
      </w:r>
      <w:r w:rsidRPr="00C4511B">
        <w:rPr>
          <w:i/>
          <w:iCs/>
          <w:color w:val="000000" w:themeColor="text1"/>
        </w:rPr>
        <w:t xml:space="preserve">Family Law Act </w:t>
      </w:r>
      <w:r w:rsidR="00136B6D">
        <w:rPr>
          <w:i/>
          <w:iCs/>
          <w:color w:val="000000" w:themeColor="text1"/>
        </w:rPr>
        <w:t>1975</w:t>
      </w:r>
      <w:r w:rsidRPr="00C4511B">
        <w:rPr>
          <w:i/>
          <w:iCs/>
          <w:color w:val="000000" w:themeColor="text1"/>
        </w:rPr>
        <w:t xml:space="preserve"> </w:t>
      </w:r>
      <w:r w:rsidR="00AA0E56" w:rsidRPr="0008594D">
        <w:rPr>
          <w:color w:val="000000" w:themeColor="text1"/>
        </w:rPr>
        <w:t>(</w:t>
      </w:r>
      <w:proofErr w:type="spellStart"/>
      <w:r w:rsidR="00AA0E56" w:rsidRPr="0008594D">
        <w:rPr>
          <w:color w:val="000000" w:themeColor="text1"/>
        </w:rPr>
        <w:t>Cth</w:t>
      </w:r>
      <w:proofErr w:type="spellEnd"/>
      <w:r w:rsidR="00AA0E56" w:rsidRPr="0008594D">
        <w:rPr>
          <w:color w:val="000000" w:themeColor="text1"/>
        </w:rPr>
        <w:t>)</w:t>
      </w:r>
      <w:r w:rsidR="00136B6D" w:rsidRPr="008D4FD3">
        <w:rPr>
          <w:color w:val="000000" w:themeColor="text1"/>
        </w:rPr>
        <w:t>.</w:t>
      </w:r>
      <w:r w:rsidR="00136B6D">
        <w:rPr>
          <w:color w:val="000000" w:themeColor="text1"/>
        </w:rPr>
        <w:t xml:space="preserve"> </w:t>
      </w:r>
      <w:r w:rsidRPr="003F1DEA">
        <w:rPr>
          <w:color w:val="000000" w:themeColor="text1"/>
        </w:rPr>
        <w:t xml:space="preserve">The reforms emphasised ‘shared parenting’, prioritising parents’ rights over children’s safety. A decade later, 43% of Australians agree that mothers “often make up or exaggerate claims of domestic abuse to improve their case”, demonstrating the widespread belief of women’s false accusations of violence (Webster et al., 2018; Hill 2019). </w:t>
      </w:r>
    </w:p>
    <w:p w14:paraId="625CDB3D" w14:textId="77777777" w:rsidR="003F1DEA" w:rsidRPr="003F1DEA" w:rsidRDefault="003F1DEA" w:rsidP="003F1DEA">
      <w:pPr>
        <w:contextualSpacing/>
        <w:rPr>
          <w:color w:val="000000" w:themeColor="text1"/>
        </w:rPr>
      </w:pPr>
    </w:p>
    <w:p w14:paraId="6E5FA758" w14:textId="234891FE" w:rsidR="003F1DEA" w:rsidRDefault="003F1DEA" w:rsidP="003F1DEA">
      <w:pPr>
        <w:contextualSpacing/>
        <w:rPr>
          <w:color w:val="000000" w:themeColor="text1"/>
        </w:rPr>
      </w:pPr>
      <w:r w:rsidRPr="003F1DEA">
        <w:rPr>
          <w:color w:val="000000" w:themeColor="text1"/>
        </w:rPr>
        <w:t xml:space="preserve">This </w:t>
      </w:r>
      <w:r w:rsidR="00136B6D">
        <w:rPr>
          <w:color w:val="000000" w:themeColor="text1"/>
        </w:rPr>
        <w:t>reflects, in part,</w:t>
      </w:r>
      <w:r w:rsidR="00136B6D" w:rsidRPr="003F1DEA">
        <w:rPr>
          <w:color w:val="000000" w:themeColor="text1"/>
        </w:rPr>
        <w:t xml:space="preserve"> </w:t>
      </w:r>
      <w:r w:rsidRPr="003F1DEA">
        <w:rPr>
          <w:color w:val="000000" w:themeColor="text1"/>
        </w:rPr>
        <w:t>a broader climate in which women are seen to be advancing at the expense of men</w:t>
      </w:r>
      <w:r w:rsidR="004855BA">
        <w:rPr>
          <w:color w:val="000000" w:themeColor="text1"/>
        </w:rPr>
        <w:t xml:space="preserve"> </w:t>
      </w:r>
      <w:r w:rsidR="00F524B7" w:rsidRPr="00C4511B">
        <w:rPr>
          <w:rFonts w:eastAsiaTheme="minorHAnsi"/>
          <w:color w:val="000000"/>
          <w:szCs w:val="24"/>
          <w:lang w:eastAsia="en-US" w:bidi="ar-SA"/>
        </w:rPr>
        <w:t>(Evans et al., 2018)</w:t>
      </w:r>
      <w:r w:rsidRPr="00C4511B">
        <w:rPr>
          <w:color w:val="000000" w:themeColor="text1"/>
          <w:szCs w:val="24"/>
        </w:rPr>
        <w:t xml:space="preserve">. For example, </w:t>
      </w:r>
      <w:r w:rsidR="00136B6D" w:rsidRPr="00C4511B">
        <w:rPr>
          <w:color w:val="000000" w:themeColor="text1"/>
          <w:szCs w:val="24"/>
        </w:rPr>
        <w:t>there are examples of political</w:t>
      </w:r>
      <w:r w:rsidR="00136B6D">
        <w:rPr>
          <w:color w:val="000000" w:themeColor="text1"/>
        </w:rPr>
        <w:t xml:space="preserve"> leaders expressing concern about emerging mechanisms to advance the status of women, but that there are no ‘Ministers for Men’ (Dawson 2020). </w:t>
      </w:r>
      <w:r w:rsidR="008D4FD3">
        <w:rPr>
          <w:color w:val="000000" w:themeColor="text1"/>
        </w:rPr>
        <w:t>I</w:t>
      </w:r>
      <w:r w:rsidR="00136B6D">
        <w:rPr>
          <w:color w:val="000000" w:themeColor="text1"/>
        </w:rPr>
        <w:t xml:space="preserve">n the United Kingdom, Hon Ben Bradley MP in 2020 addressed the </w:t>
      </w:r>
      <w:r w:rsidR="008D4FD3">
        <w:rPr>
          <w:color w:val="000000" w:themeColor="text1"/>
        </w:rPr>
        <w:t>British Parliament</w:t>
      </w:r>
      <w:r w:rsidR="00136B6D">
        <w:rPr>
          <w:color w:val="000000" w:themeColor="text1"/>
        </w:rPr>
        <w:t xml:space="preserve">, arguing </w:t>
      </w:r>
      <w:r w:rsidRPr="003F1DEA">
        <w:rPr>
          <w:color w:val="000000" w:themeColor="text1"/>
        </w:rPr>
        <w:t xml:space="preserve">that straight white men need more rights, emphasising the importance of being a ‘bloke’ and praising masculine stereotypes such as breadwinner status (Dawson 2020; Our Watch </w:t>
      </w:r>
      <w:r w:rsidR="00C2603C">
        <w:rPr>
          <w:color w:val="000000" w:themeColor="text1"/>
        </w:rPr>
        <w:t>2021</w:t>
      </w:r>
      <w:r w:rsidRPr="003F1DEA">
        <w:rPr>
          <w:color w:val="000000" w:themeColor="text1"/>
        </w:rPr>
        <w:t xml:space="preserve">). </w:t>
      </w:r>
    </w:p>
    <w:p w14:paraId="340CAC03" w14:textId="77777777" w:rsidR="003F1DEA" w:rsidRDefault="003F1DEA" w:rsidP="003F1DEA">
      <w:pPr>
        <w:contextualSpacing/>
        <w:rPr>
          <w:color w:val="000000" w:themeColor="text1"/>
        </w:rPr>
      </w:pPr>
    </w:p>
    <w:p w14:paraId="728D230A" w14:textId="62E43241" w:rsidR="003F1DEA" w:rsidRDefault="003F1DEA" w:rsidP="003F1DEA">
      <w:pPr>
        <w:contextualSpacing/>
        <w:rPr>
          <w:color w:val="000000" w:themeColor="text1"/>
        </w:rPr>
      </w:pPr>
      <w:r w:rsidRPr="003F1DEA">
        <w:rPr>
          <w:color w:val="000000" w:themeColor="text1"/>
        </w:rPr>
        <w:t xml:space="preserve">This claim of ‘reverse discrimination’ and </w:t>
      </w:r>
      <w:r w:rsidRPr="003F1DEA">
        <w:rPr>
          <w:color w:val="000000" w:themeColor="text1"/>
        </w:rPr>
        <w:lastRenderedPageBreak/>
        <w:t xml:space="preserve">threats to men’s rights is due to (real or perceived) increases in women’s political, </w:t>
      </w:r>
      <w:proofErr w:type="gramStart"/>
      <w:r w:rsidRPr="003F1DEA">
        <w:rPr>
          <w:color w:val="000000" w:themeColor="text1"/>
        </w:rPr>
        <w:t>economic</w:t>
      </w:r>
      <w:proofErr w:type="gramEnd"/>
      <w:r w:rsidRPr="003F1DEA">
        <w:rPr>
          <w:color w:val="000000" w:themeColor="text1"/>
        </w:rPr>
        <w:t xml:space="preserve"> and social participation and rights which fundamentally challenge men’s privileged and entitled status (Flood and Pease, 2004; Kimmel, 2013). Salter (2016b,) for example details how men’s rights activists have infiltrated discourses around male health promotion that conflate men’s ‘rights’ with men’s ‘needs’ with increasingly unclear lines of delineation. </w:t>
      </w:r>
    </w:p>
    <w:p w14:paraId="550137F0" w14:textId="77777777" w:rsidR="003F1DEA" w:rsidRDefault="003F1DEA" w:rsidP="003F1DEA">
      <w:pPr>
        <w:contextualSpacing/>
        <w:rPr>
          <w:color w:val="000000" w:themeColor="text1"/>
        </w:rPr>
      </w:pPr>
    </w:p>
    <w:p w14:paraId="1F539B03" w14:textId="6768C965" w:rsidR="003F1DEA" w:rsidRPr="003F1DEA" w:rsidRDefault="003F1DEA" w:rsidP="003F1DEA">
      <w:pPr>
        <w:contextualSpacing/>
        <w:rPr>
          <w:color w:val="000000" w:themeColor="text1"/>
        </w:rPr>
      </w:pPr>
      <w:r w:rsidRPr="003F1DEA">
        <w:rPr>
          <w:color w:val="000000" w:themeColor="text1"/>
        </w:rPr>
        <w:t xml:space="preserve">Salter </w:t>
      </w:r>
      <w:r w:rsidR="00136B6D">
        <w:rPr>
          <w:color w:val="000000" w:themeColor="text1"/>
        </w:rPr>
        <w:t>outlines</w:t>
      </w:r>
      <w:r w:rsidR="00136B6D" w:rsidRPr="003F1DEA">
        <w:rPr>
          <w:color w:val="000000" w:themeColor="text1"/>
        </w:rPr>
        <w:t xml:space="preserve"> </w:t>
      </w:r>
      <w:r w:rsidRPr="003F1DEA">
        <w:rPr>
          <w:color w:val="000000" w:themeColor="text1"/>
        </w:rPr>
        <w:t>how this conflation has become embedded in male health promotion and policy. It centres around claims that male health deficits and high mortality rates are a product of “anti-male sentiment and confusion around men’s social and familial roles generated by feminism” (Salter 2016b, p. 70). This shift to men’s health ‘needs’ is centred on claims around male victimhood and disadvantage that have consequences for male privilege (Salter 2016b).</w:t>
      </w:r>
    </w:p>
    <w:p w14:paraId="656E927C" w14:textId="77777777" w:rsidR="003F1DEA" w:rsidRPr="003F1DEA" w:rsidRDefault="003F1DEA" w:rsidP="003F1DEA">
      <w:pPr>
        <w:contextualSpacing/>
        <w:rPr>
          <w:color w:val="000000" w:themeColor="text1"/>
        </w:rPr>
      </w:pPr>
    </w:p>
    <w:p w14:paraId="5DF69B6D" w14:textId="7290D85B" w:rsidR="003F1DEA" w:rsidRPr="00437FB5" w:rsidRDefault="003F1DEA" w:rsidP="003F1DEA">
      <w:pPr>
        <w:contextualSpacing/>
        <w:rPr>
          <w:color w:val="000000" w:themeColor="text1"/>
        </w:rPr>
      </w:pPr>
      <w:r w:rsidRPr="00437FB5">
        <w:rPr>
          <w:color w:val="000000" w:themeColor="text1"/>
        </w:rPr>
        <w:t xml:space="preserve">Within institutions, </w:t>
      </w:r>
      <w:r w:rsidR="00136B6D">
        <w:rPr>
          <w:color w:val="000000" w:themeColor="text1"/>
        </w:rPr>
        <w:t xml:space="preserve">co-option may manifest as the </w:t>
      </w:r>
      <w:r w:rsidRPr="00437FB5">
        <w:rPr>
          <w:color w:val="000000" w:themeColor="text1"/>
        </w:rPr>
        <w:t xml:space="preserve">adoption of a gender equality workplace strategy that is neutral and couched in terms of equal opportunities for everyone (Colley et al., 2020, p. 8). </w:t>
      </w:r>
      <w:r w:rsidRPr="003F1DEA">
        <w:rPr>
          <w:color w:val="000000" w:themeColor="text1"/>
        </w:rPr>
        <w:t>Gender neutrality is “the attempt to address gender inequality but in ways that seek to equate men and women, and not be seen to advantage women” (Colley et al., 2020, p. 5). Gender neutrality is not neutral at all, because there is no recognition of the gender</w:t>
      </w:r>
      <w:r w:rsidR="00CA22C0">
        <w:rPr>
          <w:color w:val="000000" w:themeColor="text1"/>
        </w:rPr>
        <w:t>ed</w:t>
      </w:r>
      <w:r w:rsidRPr="003F1DEA">
        <w:rPr>
          <w:color w:val="000000" w:themeColor="text1"/>
        </w:rPr>
        <w:t xml:space="preserve"> and other power relations and hierarchies that impact women, </w:t>
      </w:r>
      <w:proofErr w:type="gramStart"/>
      <w:r w:rsidRPr="003F1DEA">
        <w:rPr>
          <w:color w:val="000000" w:themeColor="text1"/>
        </w:rPr>
        <w:t>men</w:t>
      </w:r>
      <w:proofErr w:type="gramEnd"/>
      <w:r w:rsidRPr="003F1DEA">
        <w:rPr>
          <w:color w:val="000000" w:themeColor="text1"/>
        </w:rPr>
        <w:t xml:space="preserve"> and gender diverse people differently. This approach might better be understood as ‘gender blind’ because it fails (or refuses) to acknowledge existing gender power relations.</w:t>
      </w:r>
    </w:p>
    <w:p w14:paraId="58B59284" w14:textId="77777777" w:rsidR="003F1DEA" w:rsidRPr="003F1DEA" w:rsidRDefault="003F1DEA" w:rsidP="003F1DEA">
      <w:pPr>
        <w:contextualSpacing/>
        <w:rPr>
          <w:color w:val="000000" w:themeColor="text1"/>
        </w:rPr>
      </w:pPr>
    </w:p>
    <w:p w14:paraId="67001E7B" w14:textId="5AD88724" w:rsidR="003F1DEA" w:rsidRDefault="003F1DEA" w:rsidP="003F1DEA">
      <w:pPr>
        <w:contextualSpacing/>
        <w:rPr>
          <w:color w:val="000000" w:themeColor="text1"/>
        </w:rPr>
      </w:pPr>
      <w:r w:rsidRPr="003F1DEA">
        <w:rPr>
          <w:color w:val="000000" w:themeColor="text1"/>
        </w:rPr>
        <w:t xml:space="preserve">This type of </w:t>
      </w:r>
      <w:r w:rsidR="001D6DDA" w:rsidRPr="003F1DEA">
        <w:rPr>
          <w:color w:val="000000" w:themeColor="text1"/>
        </w:rPr>
        <w:t>co-option</w:t>
      </w:r>
      <w:r w:rsidRPr="003F1DEA">
        <w:rPr>
          <w:color w:val="000000" w:themeColor="text1"/>
        </w:rPr>
        <w:t xml:space="preserve"> can be seen in arguments made around meritocracy and gender quotas. Gender quotas are a widespread practice to increase women’s </w:t>
      </w:r>
      <w:r w:rsidRPr="003F1DEA">
        <w:rPr>
          <w:color w:val="000000" w:themeColor="text1"/>
        </w:rPr>
        <w:t xml:space="preserve">representation and participation in male dominated arenas such as political and economic decision-making positions. </w:t>
      </w:r>
    </w:p>
    <w:p w14:paraId="747C590B" w14:textId="77777777" w:rsidR="003F1DEA" w:rsidRDefault="003F1DEA" w:rsidP="003F1DEA">
      <w:pPr>
        <w:contextualSpacing/>
        <w:rPr>
          <w:color w:val="000000" w:themeColor="text1"/>
        </w:rPr>
      </w:pPr>
    </w:p>
    <w:p w14:paraId="0E1E063B" w14:textId="39C91784" w:rsidR="00E76E75" w:rsidRDefault="003F1DEA" w:rsidP="003F1DEA">
      <w:pPr>
        <w:contextualSpacing/>
        <w:rPr>
          <w:color w:val="000000" w:themeColor="text1"/>
        </w:rPr>
      </w:pPr>
      <w:r w:rsidRPr="003F1DEA">
        <w:rPr>
          <w:color w:val="000000" w:themeColor="text1"/>
        </w:rPr>
        <w:t xml:space="preserve">Women’s leadership and increased decision-making is an essential action under </w:t>
      </w:r>
      <w:r w:rsidRPr="00C4511B">
        <w:rPr>
          <w:i/>
          <w:iCs/>
          <w:color w:val="000000" w:themeColor="text1"/>
        </w:rPr>
        <w:t>Change the story</w:t>
      </w:r>
      <w:r w:rsidRPr="003F1DEA">
        <w:rPr>
          <w:color w:val="000000" w:themeColor="text1"/>
        </w:rPr>
        <w:t xml:space="preserve"> and is critical for the achievement of gender equality. Often proposals for gender quotas to achieve this are met with arguments </w:t>
      </w:r>
      <w:r w:rsidR="00EC5DF1">
        <w:rPr>
          <w:color w:val="000000" w:themeColor="text1"/>
        </w:rPr>
        <w:t>that may sound like:</w:t>
      </w:r>
      <w:r w:rsidRPr="003F1DEA">
        <w:rPr>
          <w:color w:val="000000" w:themeColor="text1"/>
        </w:rPr>
        <w:t xml:space="preserve"> </w:t>
      </w:r>
    </w:p>
    <w:p w14:paraId="604E5F7E" w14:textId="77777777" w:rsidR="00E76E75" w:rsidRDefault="00E76E75" w:rsidP="003F1DEA">
      <w:pPr>
        <w:contextualSpacing/>
        <w:rPr>
          <w:color w:val="000000" w:themeColor="text1"/>
        </w:rPr>
      </w:pPr>
    </w:p>
    <w:p w14:paraId="41E4F94F" w14:textId="3835851B" w:rsidR="00E76E75" w:rsidRPr="00C4511B" w:rsidRDefault="00E76E75" w:rsidP="00C4511B">
      <w:pPr>
        <w:pStyle w:val="ListParagraph"/>
        <w:numPr>
          <w:ilvl w:val="0"/>
          <w:numId w:val="43"/>
        </w:numPr>
        <w:contextualSpacing/>
        <w:rPr>
          <w:color w:val="000000" w:themeColor="text1"/>
        </w:rPr>
      </w:pPr>
      <w:r>
        <w:rPr>
          <w:color w:val="000000" w:themeColor="text1"/>
        </w:rPr>
        <w:t>‘</w:t>
      </w:r>
      <w:proofErr w:type="gramStart"/>
      <w:r w:rsidR="003F1DEA" w:rsidRPr="00C4511B">
        <w:rPr>
          <w:color w:val="000000" w:themeColor="text1"/>
        </w:rPr>
        <w:t>we</w:t>
      </w:r>
      <w:proofErr w:type="gramEnd"/>
      <w:r w:rsidR="003F1DEA" w:rsidRPr="00C4511B">
        <w:rPr>
          <w:color w:val="000000" w:themeColor="text1"/>
        </w:rPr>
        <w:t xml:space="preserve"> believe in gender equality, there are just no qualified women</w:t>
      </w:r>
      <w:r>
        <w:rPr>
          <w:color w:val="000000" w:themeColor="text1"/>
        </w:rPr>
        <w:t>’</w:t>
      </w:r>
      <w:r w:rsidR="004855BA">
        <w:rPr>
          <w:color w:val="000000" w:themeColor="text1"/>
        </w:rPr>
        <w:t>.</w:t>
      </w:r>
      <w:r w:rsidR="003F1DEA" w:rsidRPr="00C4511B">
        <w:rPr>
          <w:color w:val="000000" w:themeColor="text1"/>
        </w:rPr>
        <w:t xml:space="preserve"> </w:t>
      </w:r>
    </w:p>
    <w:p w14:paraId="4308B7AE" w14:textId="78403226" w:rsidR="00E76E75" w:rsidRPr="00C4511B" w:rsidRDefault="00E76E75" w:rsidP="00C4511B">
      <w:pPr>
        <w:pStyle w:val="ListParagraph"/>
        <w:numPr>
          <w:ilvl w:val="0"/>
          <w:numId w:val="43"/>
        </w:numPr>
        <w:contextualSpacing/>
        <w:rPr>
          <w:color w:val="000000" w:themeColor="text1"/>
        </w:rPr>
      </w:pPr>
      <w:r>
        <w:rPr>
          <w:color w:val="000000" w:themeColor="text1"/>
        </w:rPr>
        <w:t>‘</w:t>
      </w:r>
      <w:proofErr w:type="gramStart"/>
      <w:r w:rsidR="003F1DEA" w:rsidRPr="00C4511B">
        <w:rPr>
          <w:color w:val="000000" w:themeColor="text1"/>
        </w:rPr>
        <w:t>if</w:t>
      </w:r>
      <w:proofErr w:type="gramEnd"/>
      <w:r w:rsidR="003F1DEA" w:rsidRPr="00C4511B">
        <w:rPr>
          <w:color w:val="000000" w:themeColor="text1"/>
        </w:rPr>
        <w:t xml:space="preserve"> there were qualified women, there would be nothing stopping them getting to those positions based on merit</w:t>
      </w:r>
      <w:r>
        <w:rPr>
          <w:color w:val="000000" w:themeColor="text1"/>
        </w:rPr>
        <w:t>’</w:t>
      </w:r>
      <w:r w:rsidR="004855BA">
        <w:rPr>
          <w:color w:val="000000" w:themeColor="text1"/>
        </w:rPr>
        <w:t>.</w:t>
      </w:r>
      <w:r w:rsidR="003F1DEA" w:rsidRPr="00C4511B">
        <w:rPr>
          <w:color w:val="000000" w:themeColor="text1"/>
        </w:rPr>
        <w:t xml:space="preserve"> </w:t>
      </w:r>
    </w:p>
    <w:p w14:paraId="078AE147" w14:textId="51D0D7BC" w:rsidR="00E76E75" w:rsidRPr="00C4511B" w:rsidRDefault="00E76E75" w:rsidP="00C4511B">
      <w:pPr>
        <w:pStyle w:val="ListParagraph"/>
        <w:numPr>
          <w:ilvl w:val="0"/>
          <w:numId w:val="43"/>
        </w:numPr>
        <w:contextualSpacing/>
        <w:rPr>
          <w:color w:val="000000" w:themeColor="text1"/>
        </w:rPr>
      </w:pPr>
      <w:r>
        <w:rPr>
          <w:color w:val="000000" w:themeColor="text1"/>
        </w:rPr>
        <w:t>‘</w:t>
      </w:r>
      <w:proofErr w:type="gramStart"/>
      <w:r w:rsidR="003F1DEA" w:rsidRPr="00C4511B">
        <w:rPr>
          <w:color w:val="000000" w:themeColor="text1"/>
        </w:rPr>
        <w:t>it</w:t>
      </w:r>
      <w:proofErr w:type="gramEnd"/>
      <w:r w:rsidR="003F1DEA" w:rsidRPr="00C4511B">
        <w:rPr>
          <w:color w:val="000000" w:themeColor="text1"/>
        </w:rPr>
        <w:t xml:space="preserve"> is women’s own decisions to choose those types of (lower-paid, feminised) professions</w:t>
      </w:r>
      <w:r>
        <w:rPr>
          <w:color w:val="000000" w:themeColor="text1"/>
        </w:rPr>
        <w:t>’</w:t>
      </w:r>
      <w:r w:rsidR="004855BA">
        <w:rPr>
          <w:color w:val="000000" w:themeColor="text1"/>
        </w:rPr>
        <w:t>.</w:t>
      </w:r>
      <w:r w:rsidR="003F1DEA" w:rsidRPr="00C4511B">
        <w:rPr>
          <w:color w:val="000000" w:themeColor="text1"/>
        </w:rPr>
        <w:t xml:space="preserve"> </w:t>
      </w:r>
    </w:p>
    <w:p w14:paraId="20EA6CD2" w14:textId="213CAFA9" w:rsidR="00E76E75" w:rsidRPr="00C4511B" w:rsidRDefault="00E76E75" w:rsidP="00C4511B">
      <w:pPr>
        <w:pStyle w:val="ListParagraph"/>
        <w:numPr>
          <w:ilvl w:val="0"/>
          <w:numId w:val="43"/>
        </w:numPr>
        <w:contextualSpacing/>
        <w:rPr>
          <w:color w:val="000000" w:themeColor="text1"/>
        </w:rPr>
      </w:pPr>
      <w:r>
        <w:rPr>
          <w:color w:val="000000" w:themeColor="text1"/>
        </w:rPr>
        <w:t>‘</w:t>
      </w:r>
      <w:proofErr w:type="gramStart"/>
      <w:r w:rsidR="003F1DEA" w:rsidRPr="00C4511B">
        <w:rPr>
          <w:color w:val="000000" w:themeColor="text1"/>
        </w:rPr>
        <w:t>women</w:t>
      </w:r>
      <w:proofErr w:type="gramEnd"/>
      <w:r w:rsidR="003F1DEA" w:rsidRPr="00C4511B">
        <w:rPr>
          <w:color w:val="000000" w:themeColor="text1"/>
        </w:rPr>
        <w:t xml:space="preserve"> are too emotional, they won’t be good leaders</w:t>
      </w:r>
      <w:r>
        <w:rPr>
          <w:color w:val="000000" w:themeColor="text1"/>
        </w:rPr>
        <w:t>’</w:t>
      </w:r>
      <w:r w:rsidR="003F1DEA" w:rsidRPr="00C4511B">
        <w:rPr>
          <w:color w:val="000000" w:themeColor="text1"/>
        </w:rPr>
        <w:t xml:space="preserve">. </w:t>
      </w:r>
    </w:p>
    <w:p w14:paraId="08F1FE64" w14:textId="77777777" w:rsidR="00E76E75" w:rsidRDefault="00E76E75" w:rsidP="003F1DEA">
      <w:pPr>
        <w:contextualSpacing/>
        <w:rPr>
          <w:color w:val="000000" w:themeColor="text1"/>
        </w:rPr>
      </w:pPr>
    </w:p>
    <w:p w14:paraId="48C2BDB3" w14:textId="5C5D78D9" w:rsidR="003F1DEA" w:rsidRPr="003F1DEA" w:rsidRDefault="003F1DEA" w:rsidP="003F1DEA">
      <w:pPr>
        <w:contextualSpacing/>
        <w:rPr>
          <w:color w:val="000000" w:themeColor="text1"/>
        </w:rPr>
      </w:pPr>
      <w:r w:rsidRPr="003F1DEA">
        <w:rPr>
          <w:color w:val="000000" w:themeColor="text1"/>
        </w:rPr>
        <w:t xml:space="preserve">The ‘myth of meritocracy’ is well captured by Murray (2015), who states </w:t>
      </w:r>
    </w:p>
    <w:p w14:paraId="1F589A82" w14:textId="77777777" w:rsidR="004B3F7D" w:rsidRPr="00C17070" w:rsidRDefault="004B3F7D" w:rsidP="00C17070">
      <w:pPr>
        <w:spacing w:before="120" w:after="120"/>
        <w:ind w:left="284" w:right="522"/>
        <w:rPr>
          <w:rFonts w:eastAsia="Times New Roman" w:cs="Times New Roman"/>
          <w:i/>
          <w:iCs/>
          <w:color w:val="000000" w:themeColor="text1"/>
          <w:lang w:eastAsia="en-GB"/>
        </w:rPr>
      </w:pPr>
      <w:r w:rsidRPr="00C17070">
        <w:rPr>
          <w:rFonts w:eastAsia="Times New Roman" w:cs="Times New Roman"/>
          <w:i/>
          <w:iCs/>
          <w:color w:val="000000" w:themeColor="text1"/>
          <w:lang w:eastAsia="en-GB"/>
        </w:rPr>
        <w:t xml:space="preserve">It is rather insulting </w:t>
      </w:r>
      <w:proofErr w:type="gramStart"/>
      <w:r w:rsidRPr="00C17070">
        <w:rPr>
          <w:rFonts w:eastAsia="Times New Roman" w:cs="Times New Roman"/>
          <w:i/>
          <w:iCs/>
          <w:color w:val="000000" w:themeColor="text1"/>
          <w:lang w:eastAsia="en-GB"/>
        </w:rPr>
        <w:t>actually to</w:t>
      </w:r>
      <w:proofErr w:type="gramEnd"/>
      <w:r w:rsidRPr="00C17070">
        <w:rPr>
          <w:rFonts w:eastAsia="Times New Roman" w:cs="Times New Roman"/>
          <w:i/>
          <w:iCs/>
          <w:color w:val="000000" w:themeColor="text1"/>
          <w:lang w:eastAsia="en-GB"/>
        </w:rPr>
        <w:t xml:space="preserve"> suggest that the reason why elite, wealthy, middle-aged white men dominate politics and other echelons of power is because they deserve to – because of their greater merit. This suggests, by inference, that under-represented groups, including women, ethnic </w:t>
      </w:r>
      <w:proofErr w:type="gramStart"/>
      <w:r w:rsidRPr="00C17070">
        <w:rPr>
          <w:rFonts w:eastAsia="Times New Roman" w:cs="Times New Roman"/>
          <w:i/>
          <w:iCs/>
          <w:color w:val="000000" w:themeColor="text1"/>
          <w:lang w:eastAsia="en-GB"/>
        </w:rPr>
        <w:t>minorities</w:t>
      </w:r>
      <w:proofErr w:type="gramEnd"/>
      <w:r w:rsidRPr="00C17070">
        <w:rPr>
          <w:rFonts w:eastAsia="Times New Roman" w:cs="Times New Roman"/>
          <w:i/>
          <w:iCs/>
          <w:color w:val="000000" w:themeColor="text1"/>
          <w:lang w:eastAsia="en-GB"/>
        </w:rPr>
        <w:t xml:space="preserve"> and people from less privileged backgrounds, are relatively absent from politics because they don’t deserve to be there.</w:t>
      </w:r>
    </w:p>
    <w:p w14:paraId="61B21EF6" w14:textId="302BA603" w:rsidR="004B3F7D" w:rsidRDefault="004B3F7D" w:rsidP="004B3F7D">
      <w:pPr>
        <w:contextualSpacing/>
        <w:rPr>
          <w:color w:val="000000" w:themeColor="text1"/>
        </w:rPr>
      </w:pPr>
      <w:r w:rsidRPr="004B3F7D">
        <w:rPr>
          <w:color w:val="000000" w:themeColor="text1"/>
        </w:rPr>
        <w:t>This kind of defence of privilege and co</w:t>
      </w:r>
      <w:r>
        <w:rPr>
          <w:color w:val="000000" w:themeColor="text1"/>
        </w:rPr>
        <w:t>-</w:t>
      </w:r>
      <w:r w:rsidRPr="004B3F7D">
        <w:rPr>
          <w:color w:val="000000" w:themeColor="text1"/>
        </w:rPr>
        <w:t xml:space="preserve">option occurs across the socioecological model and uses women’s individual ‘choices’ as a reason for their disadvantage. Arguments based on merit fail to acknowledge the gendered structural </w:t>
      </w:r>
      <w:r w:rsidRPr="004B3F7D">
        <w:rPr>
          <w:color w:val="000000" w:themeColor="text1"/>
        </w:rPr>
        <w:lastRenderedPageBreak/>
        <w:t xml:space="preserve">barriers women face in accessing those positions, while those in power do not recognise and see their own advantage and privilege (Flood and Pease, 2005). </w:t>
      </w:r>
      <w:proofErr w:type="spellStart"/>
      <w:r w:rsidR="00E76E75">
        <w:rPr>
          <w:color w:val="000000" w:themeColor="text1"/>
        </w:rPr>
        <w:t>Krook</w:t>
      </w:r>
      <w:proofErr w:type="spellEnd"/>
      <w:r w:rsidR="00E76E75">
        <w:rPr>
          <w:color w:val="000000" w:themeColor="text1"/>
        </w:rPr>
        <w:t xml:space="preserve"> suggests that i</w:t>
      </w:r>
      <w:r w:rsidRPr="004B3F7D">
        <w:rPr>
          <w:color w:val="000000" w:themeColor="text1"/>
        </w:rPr>
        <w:t>f meritocracy was an accurate portrayal of how individuals and groups access opportunities and achieve power, the violent backlash against the increasing participation of women in political spaces for instance, would not occur (</w:t>
      </w:r>
      <w:proofErr w:type="spellStart"/>
      <w:r w:rsidRPr="004B3F7D">
        <w:rPr>
          <w:color w:val="000000" w:themeColor="text1"/>
        </w:rPr>
        <w:t>Krook</w:t>
      </w:r>
      <w:proofErr w:type="spellEnd"/>
      <w:r w:rsidRPr="004B3F7D">
        <w:rPr>
          <w:color w:val="000000" w:themeColor="text1"/>
        </w:rPr>
        <w:t xml:space="preserve"> 2020).</w:t>
      </w:r>
    </w:p>
    <w:p w14:paraId="76339611" w14:textId="08C76A0B" w:rsidR="004B3F7D" w:rsidRDefault="004B3F7D" w:rsidP="004B3F7D">
      <w:pPr>
        <w:contextualSpacing/>
        <w:rPr>
          <w:color w:val="000000" w:themeColor="text1"/>
        </w:rPr>
      </w:pPr>
    </w:p>
    <w:p w14:paraId="46FD447F" w14:textId="345535CE" w:rsidR="004B3F7D" w:rsidRPr="004B3F7D" w:rsidRDefault="001D6DDA" w:rsidP="004B3F7D">
      <w:pPr>
        <w:contextualSpacing/>
        <w:rPr>
          <w:color w:val="000000" w:themeColor="text1"/>
        </w:rPr>
      </w:pPr>
      <w:r w:rsidRPr="004B3F7D">
        <w:rPr>
          <w:color w:val="000000" w:themeColor="text1"/>
        </w:rPr>
        <w:t>Co-</w:t>
      </w:r>
      <w:r w:rsidRPr="00EC5DF1">
        <w:rPr>
          <w:color w:val="000000" w:themeColor="text1"/>
          <w:szCs w:val="24"/>
        </w:rPr>
        <w:t>option</w:t>
      </w:r>
      <w:r w:rsidR="004B3F7D" w:rsidRPr="00EC5DF1">
        <w:rPr>
          <w:color w:val="000000" w:themeColor="text1"/>
          <w:szCs w:val="24"/>
        </w:rPr>
        <w:t xml:space="preserve"> is </w:t>
      </w:r>
      <w:r w:rsidR="00EC5DF1" w:rsidRPr="00C4511B">
        <w:rPr>
          <w:rFonts w:eastAsiaTheme="minorHAnsi"/>
          <w:color w:val="000000"/>
          <w:szCs w:val="24"/>
          <w:lang w:eastAsia="en-US" w:bidi="ar-SA"/>
        </w:rPr>
        <w:t>a form of resistance that can explain the way in which gender equality goals may be</w:t>
      </w:r>
      <w:r w:rsidR="004B3F7D" w:rsidRPr="004B3F7D">
        <w:rPr>
          <w:color w:val="000000" w:themeColor="text1"/>
        </w:rPr>
        <w:t xml:space="preserve"> used by institutions and organisations to maintain unequal structures and practices. For example, setting up of consultative groups that have experiential and empirical knowledge and expertise around certain issues is a critical component of community engagement and design of policies, </w:t>
      </w:r>
      <w:proofErr w:type="gramStart"/>
      <w:r w:rsidR="004B3F7D" w:rsidRPr="004B3F7D">
        <w:rPr>
          <w:color w:val="000000" w:themeColor="text1"/>
        </w:rPr>
        <w:t>laws</w:t>
      </w:r>
      <w:proofErr w:type="gramEnd"/>
      <w:r w:rsidR="004B3F7D" w:rsidRPr="004B3F7D">
        <w:rPr>
          <w:color w:val="000000" w:themeColor="text1"/>
        </w:rPr>
        <w:t xml:space="preserve"> and other institutional architecture. However, consultations can become ‘tick box’ exercises, where consultations are held with little of the input incorporated in the overall design of the final output. Stakeholder participation can be </w:t>
      </w:r>
      <w:r w:rsidRPr="004B3F7D">
        <w:rPr>
          <w:color w:val="000000" w:themeColor="text1"/>
        </w:rPr>
        <w:t>co-opted</w:t>
      </w:r>
      <w:r w:rsidR="004B3F7D" w:rsidRPr="004B3F7D">
        <w:rPr>
          <w:color w:val="000000" w:themeColor="text1"/>
        </w:rPr>
        <w:t xml:space="preserve"> to legitimise a policy or law for instance, with few or none of their substantial recommendations incorporated. Therefore, an institution can claim they have consulted with a community, while maintaining the status quo. As </w:t>
      </w:r>
      <w:r w:rsidR="004B3F7D" w:rsidRPr="00C4511B">
        <w:rPr>
          <w:i/>
          <w:iCs/>
          <w:color w:val="000000" w:themeColor="text1"/>
        </w:rPr>
        <w:t>Tracking Progress in Prevention</w:t>
      </w:r>
      <w:r w:rsidR="004B3F7D" w:rsidRPr="004B3F7D">
        <w:rPr>
          <w:color w:val="000000" w:themeColor="text1"/>
        </w:rPr>
        <w:t xml:space="preserve"> </w:t>
      </w:r>
      <w:r w:rsidR="008D4FD3">
        <w:rPr>
          <w:color w:val="000000" w:themeColor="text1"/>
        </w:rPr>
        <w:t>notes:</w:t>
      </w:r>
    </w:p>
    <w:p w14:paraId="7D399466" w14:textId="07D5F30E" w:rsidR="004B3F7D" w:rsidRPr="00C17070" w:rsidRDefault="004B3F7D" w:rsidP="00C17070">
      <w:pPr>
        <w:spacing w:before="120" w:after="120"/>
        <w:ind w:left="284" w:right="522"/>
        <w:rPr>
          <w:rFonts w:eastAsia="Times New Roman" w:cs="Times New Roman"/>
          <w:i/>
          <w:iCs/>
          <w:color w:val="000000" w:themeColor="text1"/>
          <w:lang w:eastAsia="en-GB"/>
        </w:rPr>
      </w:pPr>
      <w:r w:rsidRPr="00C17070">
        <w:rPr>
          <w:rFonts w:eastAsia="Times New Roman" w:cs="Times New Roman"/>
          <w:i/>
          <w:iCs/>
          <w:color w:val="000000" w:themeColor="text1"/>
          <w:lang w:eastAsia="en-GB"/>
        </w:rPr>
        <w:t xml:space="preserve">Currently, of those governance and coordination mechanisms that are publicised, strategies are frequently led by </w:t>
      </w:r>
      <w:proofErr w:type="gramStart"/>
      <w:r w:rsidRPr="00C17070">
        <w:rPr>
          <w:rFonts w:eastAsia="Times New Roman" w:cs="Times New Roman"/>
          <w:i/>
          <w:iCs/>
          <w:color w:val="000000" w:themeColor="text1"/>
          <w:lang w:eastAsia="en-GB"/>
        </w:rPr>
        <w:t>particular agencies</w:t>
      </w:r>
      <w:proofErr w:type="gramEnd"/>
      <w:r w:rsidRPr="00C17070">
        <w:rPr>
          <w:rFonts w:eastAsia="Times New Roman" w:cs="Times New Roman"/>
          <w:i/>
          <w:iCs/>
          <w:color w:val="000000" w:themeColor="text1"/>
          <w:lang w:eastAsia="en-GB"/>
        </w:rPr>
        <w:t xml:space="preserve"> (for example, communities, women, health) and supported by interdepartmental mechanisms such as committees (with relevant departments). Few strategies articulated any centralised interdepartmental mechanisms to lead primary prevention activity. </w:t>
      </w:r>
      <w:r w:rsidRPr="00C17070">
        <w:rPr>
          <w:rFonts w:eastAsia="Times New Roman" w:cs="Times New Roman"/>
          <w:i/>
          <w:iCs/>
          <w:color w:val="000000" w:themeColor="text1"/>
          <w:lang w:eastAsia="en-GB"/>
        </w:rPr>
        <w:t xml:space="preserve">Analysis also revealed that funded and formal mechanisms to ensure that civil society organisations participate and collaborate in the development, implementation, monitoring and evaluation of violence against women prevention policies were not consistently employed. </w:t>
      </w:r>
      <w:proofErr w:type="gramStart"/>
      <w:r w:rsidRPr="00C17070">
        <w:rPr>
          <w:rFonts w:eastAsia="Times New Roman" w:cs="Times New Roman"/>
          <w:i/>
          <w:iCs/>
          <w:color w:val="000000" w:themeColor="text1"/>
          <w:lang w:eastAsia="en-GB"/>
        </w:rPr>
        <w:t>A number of</w:t>
      </w:r>
      <w:proofErr w:type="gramEnd"/>
      <w:r w:rsidRPr="00C17070">
        <w:rPr>
          <w:rFonts w:eastAsia="Times New Roman" w:cs="Times New Roman"/>
          <w:i/>
          <w:iCs/>
          <w:color w:val="000000" w:themeColor="text1"/>
          <w:lang w:eastAsia="en-GB"/>
        </w:rPr>
        <w:t xml:space="preserve"> strategies and policies made no mention of such mechanisms, while approaches in others ranged from cross- sectoral advisory bodies tasked with providing expertise and oversight, through to time- limited issue- or activity-based community consultation bodies. Future investigations could explore whether coordination mechanisms – or advisory bodies established to coordinate and inform efforts to prevent violence against women – incorporate consultation across broad social policy areas, make appropriate efforts to centre the voices of women and ensure representation across the Australian population (Our Watch 2020</w:t>
      </w:r>
      <w:r w:rsidR="00E76E75">
        <w:rPr>
          <w:rFonts w:eastAsia="Times New Roman" w:cs="Times New Roman"/>
          <w:i/>
          <w:iCs/>
          <w:color w:val="000000" w:themeColor="text1"/>
          <w:lang w:eastAsia="en-GB"/>
        </w:rPr>
        <w:t>a</w:t>
      </w:r>
      <w:r w:rsidRPr="00C17070">
        <w:rPr>
          <w:rFonts w:eastAsia="Times New Roman" w:cs="Times New Roman"/>
          <w:i/>
          <w:iCs/>
          <w:color w:val="000000" w:themeColor="text1"/>
          <w:lang w:eastAsia="en-GB"/>
        </w:rPr>
        <w:t>, p. 29).</w:t>
      </w:r>
    </w:p>
    <w:p w14:paraId="3B27C160" w14:textId="53F131EB" w:rsidR="00EC5DF1" w:rsidRPr="00C4511B" w:rsidRDefault="00EC5DF1" w:rsidP="004B3F7D">
      <w:pPr>
        <w:contextualSpacing/>
        <w:rPr>
          <w:rFonts w:eastAsiaTheme="minorHAnsi"/>
          <w:color w:val="000000"/>
          <w:szCs w:val="24"/>
          <w:lang w:eastAsia="en-US" w:bidi="ar-SA"/>
        </w:rPr>
      </w:pPr>
      <w:r w:rsidRPr="00C4511B">
        <w:rPr>
          <w:rFonts w:eastAsiaTheme="minorHAnsi"/>
          <w:color w:val="000000"/>
          <w:szCs w:val="24"/>
          <w:lang w:eastAsia="en-US" w:bidi="ar-SA"/>
        </w:rPr>
        <w:t xml:space="preserve">Expertise, best practice, </w:t>
      </w:r>
      <w:proofErr w:type="gramStart"/>
      <w:r w:rsidRPr="00C4511B">
        <w:rPr>
          <w:rFonts w:eastAsiaTheme="minorHAnsi"/>
          <w:color w:val="000000"/>
          <w:szCs w:val="24"/>
          <w:lang w:eastAsia="en-US" w:bidi="ar-SA"/>
        </w:rPr>
        <w:t>evidence</w:t>
      </w:r>
      <w:proofErr w:type="gramEnd"/>
      <w:r w:rsidRPr="00C4511B">
        <w:rPr>
          <w:rFonts w:eastAsiaTheme="minorHAnsi"/>
          <w:color w:val="000000"/>
          <w:szCs w:val="24"/>
          <w:lang w:eastAsia="en-US" w:bidi="ar-SA"/>
        </w:rPr>
        <w:t xml:space="preserve"> and advice can be co-opted where it is moderated or watered down with the effect of undermining actions to address—and sometimes reinforces—the gender drivers of violence. There are </w:t>
      </w:r>
      <w:proofErr w:type="gramStart"/>
      <w:r w:rsidRPr="00C4511B">
        <w:rPr>
          <w:rFonts w:eastAsiaTheme="minorHAnsi"/>
          <w:color w:val="000000"/>
          <w:szCs w:val="24"/>
          <w:lang w:eastAsia="en-US" w:bidi="ar-SA"/>
        </w:rPr>
        <w:t>a number of</w:t>
      </w:r>
      <w:proofErr w:type="gramEnd"/>
      <w:r w:rsidRPr="00C4511B">
        <w:rPr>
          <w:rFonts w:eastAsiaTheme="minorHAnsi"/>
          <w:color w:val="000000"/>
          <w:szCs w:val="24"/>
          <w:lang w:eastAsia="en-US" w:bidi="ar-SA"/>
        </w:rPr>
        <w:t xml:space="preserve"> example</w:t>
      </w:r>
      <w:r w:rsidR="004855BA">
        <w:rPr>
          <w:rFonts w:eastAsiaTheme="minorHAnsi"/>
          <w:color w:val="000000"/>
          <w:szCs w:val="24"/>
          <w:lang w:eastAsia="en-US" w:bidi="ar-SA"/>
        </w:rPr>
        <w:t>s</w:t>
      </w:r>
      <w:r w:rsidRPr="00C4511B">
        <w:rPr>
          <w:rFonts w:eastAsiaTheme="minorHAnsi"/>
          <w:color w:val="000000"/>
          <w:szCs w:val="24"/>
          <w:lang w:eastAsia="en-US" w:bidi="ar-SA"/>
        </w:rPr>
        <w:t xml:space="preserve"> of this, including th</w:t>
      </w:r>
      <w:r>
        <w:rPr>
          <w:rFonts w:eastAsiaTheme="minorHAnsi"/>
          <w:color w:val="000000"/>
          <w:szCs w:val="24"/>
          <w:lang w:eastAsia="en-US" w:bidi="ar-SA"/>
        </w:rPr>
        <w:t>e</w:t>
      </w:r>
      <w:r w:rsidRPr="00C4511B">
        <w:rPr>
          <w:rFonts w:eastAsiaTheme="minorHAnsi"/>
          <w:color w:val="000000"/>
          <w:szCs w:val="24"/>
          <w:lang w:eastAsia="en-US" w:bidi="ar-SA"/>
        </w:rPr>
        <w:t xml:space="preserve"> notion of shared responsibility between victim and perpetrator that is reflected in some policies and programs, including counselling. Another example is the inclusion of material on maintaining unhealthy and violent relationships, encouraging </w:t>
      </w:r>
      <w:proofErr w:type="gramStart"/>
      <w:r w:rsidRPr="00C4511B">
        <w:rPr>
          <w:rFonts w:eastAsiaTheme="minorHAnsi"/>
          <w:color w:val="000000"/>
          <w:szCs w:val="24"/>
          <w:lang w:eastAsia="en-US" w:bidi="ar-SA"/>
        </w:rPr>
        <w:t>reconciliation</w:t>
      </w:r>
      <w:proofErr w:type="gramEnd"/>
      <w:r w:rsidRPr="00C4511B">
        <w:rPr>
          <w:rFonts w:eastAsiaTheme="minorHAnsi"/>
          <w:color w:val="000000"/>
          <w:szCs w:val="24"/>
          <w:lang w:eastAsia="en-US" w:bidi="ar-SA"/>
        </w:rPr>
        <w:t xml:space="preserve"> and creating a shared responsibility for violence between partners that can be promoted through some sex education programs. This occurs despite evidence indicating that there is a </w:t>
      </w:r>
      <w:r w:rsidRPr="00C4511B">
        <w:rPr>
          <w:rFonts w:eastAsiaTheme="minorHAnsi"/>
          <w:color w:val="000000"/>
          <w:szCs w:val="24"/>
          <w:lang w:eastAsia="en-US" w:bidi="ar-SA"/>
        </w:rPr>
        <w:lastRenderedPageBreak/>
        <w:t xml:space="preserve">need to centre gendered power relations and </w:t>
      </w:r>
      <w:proofErr w:type="gramStart"/>
      <w:r w:rsidRPr="00C4511B">
        <w:rPr>
          <w:rFonts w:eastAsiaTheme="minorHAnsi"/>
          <w:color w:val="000000"/>
          <w:szCs w:val="24"/>
          <w:lang w:eastAsia="en-US" w:bidi="ar-SA"/>
        </w:rPr>
        <w:t>consent, and</w:t>
      </w:r>
      <w:proofErr w:type="gramEnd"/>
      <w:r w:rsidRPr="00C4511B">
        <w:rPr>
          <w:rFonts w:eastAsiaTheme="minorHAnsi"/>
          <w:color w:val="000000"/>
          <w:szCs w:val="24"/>
          <w:lang w:eastAsia="en-US" w:bidi="ar-SA"/>
        </w:rPr>
        <w:t xml:space="preserve"> have whole of school approaches to consent and schools-based sex and relationships education programs.</w:t>
      </w:r>
    </w:p>
    <w:p w14:paraId="5809F3BD" w14:textId="77777777" w:rsidR="00EC5DF1" w:rsidRDefault="00EC5DF1" w:rsidP="004B3F7D">
      <w:pPr>
        <w:contextualSpacing/>
        <w:rPr>
          <w:rFonts w:cs="Times New Roman"/>
          <w:color w:val="000000" w:themeColor="text1"/>
        </w:rPr>
      </w:pPr>
    </w:p>
    <w:p w14:paraId="317891F4" w14:textId="5105B2F2" w:rsidR="00323C69" w:rsidRDefault="002C5796" w:rsidP="004B3F7D">
      <w:pPr>
        <w:contextualSpacing/>
        <w:rPr>
          <w:rFonts w:cs="Times New Roman"/>
          <w:color w:val="000000" w:themeColor="text1"/>
        </w:rPr>
      </w:pPr>
      <w:r>
        <w:rPr>
          <w:rFonts w:cs="Times New Roman"/>
          <w:color w:val="000000" w:themeColor="text1"/>
        </w:rPr>
        <w:t>Co</w:t>
      </w:r>
      <w:r w:rsidR="004B3F7D">
        <w:rPr>
          <w:rFonts w:cs="Times New Roman"/>
          <w:color w:val="000000" w:themeColor="text1"/>
        </w:rPr>
        <w:t>-option occurs w</w:t>
      </w:r>
      <w:r w:rsidR="004B3F7D" w:rsidRPr="00437FB5">
        <w:rPr>
          <w:rFonts w:cs="Times New Roman"/>
          <w:color w:val="000000" w:themeColor="text1"/>
        </w:rPr>
        <w:t xml:space="preserve">hen interventions adopt the </w:t>
      </w:r>
      <w:r w:rsidR="004B3F7D">
        <w:rPr>
          <w:rFonts w:cs="Times New Roman"/>
          <w:color w:val="000000" w:themeColor="text1"/>
        </w:rPr>
        <w:t xml:space="preserve">goals, and some of the </w:t>
      </w:r>
      <w:r w:rsidR="004B3F7D" w:rsidRPr="00437FB5">
        <w:rPr>
          <w:rFonts w:cs="Times New Roman"/>
          <w:color w:val="000000" w:themeColor="text1"/>
        </w:rPr>
        <w:t xml:space="preserve">discourses and language of primary prevention, but </w:t>
      </w:r>
      <w:r w:rsidR="004B3F7D">
        <w:rPr>
          <w:rFonts w:cs="Times New Roman"/>
          <w:color w:val="000000" w:themeColor="text1"/>
        </w:rPr>
        <w:t xml:space="preserve">then </w:t>
      </w:r>
      <w:r w:rsidR="004B3F7D" w:rsidRPr="00437FB5">
        <w:rPr>
          <w:rFonts w:cs="Times New Roman"/>
          <w:color w:val="000000" w:themeColor="text1"/>
        </w:rPr>
        <w:t xml:space="preserve">water down </w:t>
      </w:r>
      <w:r w:rsidR="004B3F7D">
        <w:rPr>
          <w:rFonts w:cs="Times New Roman"/>
          <w:color w:val="000000" w:themeColor="text1"/>
        </w:rPr>
        <w:t xml:space="preserve">the content of </w:t>
      </w:r>
      <w:r w:rsidR="004B3F7D" w:rsidRPr="00437FB5">
        <w:rPr>
          <w:rFonts w:cs="Times New Roman"/>
          <w:color w:val="000000" w:themeColor="text1"/>
        </w:rPr>
        <w:t xml:space="preserve">policies, </w:t>
      </w:r>
      <w:proofErr w:type="gramStart"/>
      <w:r w:rsidR="004B3F7D" w:rsidRPr="00437FB5">
        <w:rPr>
          <w:rFonts w:cs="Times New Roman"/>
          <w:color w:val="000000" w:themeColor="text1"/>
        </w:rPr>
        <w:t>laws</w:t>
      </w:r>
      <w:proofErr w:type="gramEnd"/>
      <w:r w:rsidR="004B3F7D" w:rsidRPr="00437FB5">
        <w:rPr>
          <w:rFonts w:cs="Times New Roman"/>
          <w:color w:val="000000" w:themeColor="text1"/>
        </w:rPr>
        <w:t xml:space="preserve"> and interventions </w:t>
      </w:r>
      <w:r w:rsidR="004B3F7D">
        <w:rPr>
          <w:rFonts w:cs="Times New Roman"/>
          <w:color w:val="000000" w:themeColor="text1"/>
        </w:rPr>
        <w:t>to produce effects that actually undermine or directly contradict the principles of primary prevention</w:t>
      </w:r>
      <w:r w:rsidR="004B3F7D" w:rsidRPr="00437FB5">
        <w:rPr>
          <w:rFonts w:cs="Times New Roman"/>
          <w:color w:val="000000" w:themeColor="text1"/>
        </w:rPr>
        <w:t>.</w:t>
      </w:r>
    </w:p>
    <w:p w14:paraId="5918B74A" w14:textId="13840F41" w:rsidR="00323C69" w:rsidRDefault="00323C69" w:rsidP="004B3F7D">
      <w:pPr>
        <w:contextualSpacing/>
        <w:rPr>
          <w:rFonts w:cs="Times New Roman"/>
          <w:color w:val="000000" w:themeColor="text1"/>
        </w:rPr>
      </w:pPr>
    </w:p>
    <w:p w14:paraId="4C49FDB7" w14:textId="77777777" w:rsidR="00E76E75" w:rsidRDefault="00E76E75" w:rsidP="004B3F7D">
      <w:pPr>
        <w:contextualSpacing/>
        <w:rPr>
          <w:rFonts w:cs="Times New Roman"/>
          <w:color w:val="000000" w:themeColor="text1"/>
        </w:rPr>
      </w:pPr>
    </w:p>
    <w:p w14:paraId="4773D0A2" w14:textId="20DD6AA2" w:rsidR="00323C69" w:rsidRPr="00D93763" w:rsidRDefault="00323C69" w:rsidP="00323C69">
      <w:pPr>
        <w:pStyle w:val="Mainbody-subheadings"/>
        <w:spacing w:before="120"/>
      </w:pPr>
      <w:bookmarkStart w:id="67" w:name="_Toc85620731"/>
      <w:bookmarkStart w:id="68" w:name="_Toc87526318"/>
      <w:r>
        <w:t>Repression</w:t>
      </w:r>
      <w:bookmarkEnd w:id="67"/>
      <w:bookmarkEnd w:id="68"/>
    </w:p>
    <w:p w14:paraId="7B79B7AF" w14:textId="62E437BA" w:rsidR="00323C69" w:rsidRPr="00437FB5" w:rsidRDefault="00323C69" w:rsidP="00323C69">
      <w:pPr>
        <w:rPr>
          <w:rFonts w:cs="Times New Roman"/>
          <w:color w:val="000000" w:themeColor="text1"/>
        </w:rPr>
      </w:pPr>
      <w:r w:rsidRPr="00437FB5">
        <w:rPr>
          <w:rFonts w:cs="Times New Roman"/>
          <w:color w:val="000000" w:themeColor="text1"/>
        </w:rPr>
        <w:t xml:space="preserve">Repression is the reversal or dismantling of a change initiative once implementation has begun. As feminist activists pursue greater change and transformation, often they have a double burden of activism, simultaneously fighting to maintain existing achievements that are at risk of repression. This form of anti-gender and anti-feminist resistance is active with appeals to ‘traditional’ and ‘natural’ gender roles that seeks to reverse and dismantle gender equality initiatives, occurring at a local </w:t>
      </w:r>
      <w:r w:rsidRPr="00437FB5">
        <w:rPr>
          <w:rFonts w:cs="Times New Roman"/>
          <w:i/>
          <w:iCs/>
          <w:color w:val="000000" w:themeColor="text1"/>
        </w:rPr>
        <w:t xml:space="preserve">and </w:t>
      </w:r>
      <w:r w:rsidRPr="00437FB5">
        <w:rPr>
          <w:rFonts w:cs="Times New Roman"/>
          <w:color w:val="000000" w:themeColor="text1"/>
        </w:rPr>
        <w:t>global scale (</w:t>
      </w:r>
      <w:proofErr w:type="spellStart"/>
      <w:r w:rsidRPr="00437FB5">
        <w:rPr>
          <w:rFonts w:cs="Times New Roman"/>
          <w:color w:val="000000" w:themeColor="text1"/>
        </w:rPr>
        <w:t>Corredor</w:t>
      </w:r>
      <w:proofErr w:type="spellEnd"/>
      <w:r w:rsidRPr="00437FB5">
        <w:rPr>
          <w:rFonts w:cs="Times New Roman"/>
          <w:color w:val="000000" w:themeColor="text1"/>
        </w:rPr>
        <w:t xml:space="preserve"> 2019; </w:t>
      </w:r>
      <w:proofErr w:type="spellStart"/>
      <w:r w:rsidRPr="00437FB5">
        <w:rPr>
          <w:rFonts w:eastAsia="Times New Roman"/>
          <w:color w:val="333333"/>
          <w:lang w:eastAsia="en-GB"/>
        </w:rPr>
        <w:t>Cupać</w:t>
      </w:r>
      <w:proofErr w:type="spellEnd"/>
      <w:r w:rsidRPr="00437FB5">
        <w:rPr>
          <w:rFonts w:eastAsia="Times New Roman"/>
          <w:color w:val="333333"/>
          <w:lang w:eastAsia="en-GB"/>
        </w:rPr>
        <w:t xml:space="preserve"> and </w:t>
      </w:r>
      <w:proofErr w:type="spellStart"/>
      <w:r w:rsidRPr="00437FB5">
        <w:rPr>
          <w:rFonts w:eastAsia="Times New Roman"/>
          <w:color w:val="333333"/>
          <w:lang w:eastAsia="en-GB"/>
        </w:rPr>
        <w:t>Ebetürk</w:t>
      </w:r>
      <w:proofErr w:type="spellEnd"/>
      <w:r w:rsidRPr="00437FB5">
        <w:rPr>
          <w:rFonts w:eastAsia="Times New Roman"/>
          <w:color w:val="333333"/>
          <w:lang w:eastAsia="en-GB"/>
        </w:rPr>
        <w:t>, 2020)</w:t>
      </w:r>
      <w:r w:rsidRPr="00437FB5">
        <w:rPr>
          <w:rFonts w:cs="Times New Roman"/>
          <w:color w:val="000000" w:themeColor="text1"/>
        </w:rPr>
        <w:t xml:space="preserve">. </w:t>
      </w:r>
      <w:proofErr w:type="spellStart"/>
      <w:r w:rsidRPr="00437FB5">
        <w:rPr>
          <w:rFonts w:cs="Times New Roman"/>
          <w:color w:val="000000" w:themeColor="text1"/>
        </w:rPr>
        <w:t>Corredor</w:t>
      </w:r>
      <w:proofErr w:type="spellEnd"/>
      <w:r w:rsidRPr="00437FB5">
        <w:rPr>
          <w:rFonts w:cs="Times New Roman"/>
          <w:color w:val="000000" w:themeColor="text1"/>
        </w:rPr>
        <w:t xml:space="preserve"> (2019, p. 616) </w:t>
      </w:r>
      <w:r w:rsidR="00EC5DF1">
        <w:rPr>
          <w:rFonts w:cs="Times New Roman"/>
          <w:color w:val="000000" w:themeColor="text1"/>
        </w:rPr>
        <w:t xml:space="preserve">refers to and </w:t>
      </w:r>
      <w:r w:rsidRPr="00437FB5">
        <w:rPr>
          <w:rFonts w:cs="Times New Roman"/>
          <w:color w:val="000000" w:themeColor="text1"/>
        </w:rPr>
        <w:t xml:space="preserve">defines </w:t>
      </w:r>
      <w:r>
        <w:rPr>
          <w:rFonts w:cs="Times New Roman"/>
          <w:color w:val="000000" w:themeColor="text1"/>
        </w:rPr>
        <w:t xml:space="preserve">the term </w:t>
      </w:r>
      <w:r w:rsidRPr="00437FB5">
        <w:rPr>
          <w:rFonts w:cs="Times New Roman"/>
          <w:color w:val="000000" w:themeColor="text1"/>
        </w:rPr>
        <w:t>‘gender ideology’ as</w:t>
      </w:r>
      <w:r>
        <w:rPr>
          <w:rFonts w:cs="Times New Roman"/>
          <w:color w:val="000000" w:themeColor="text1"/>
        </w:rPr>
        <w:t>:</w:t>
      </w:r>
      <w:r w:rsidRPr="00437FB5">
        <w:rPr>
          <w:rFonts w:cs="Times New Roman"/>
          <w:color w:val="000000" w:themeColor="text1"/>
        </w:rPr>
        <w:t xml:space="preserve"> </w:t>
      </w:r>
    </w:p>
    <w:p w14:paraId="0788BD82" w14:textId="77777777" w:rsidR="00323C69" w:rsidRPr="00437FB5" w:rsidRDefault="00323C69" w:rsidP="00323C69">
      <w:pPr>
        <w:contextualSpacing/>
        <w:rPr>
          <w:rFonts w:cs="Times New Roman"/>
          <w:color w:val="000000" w:themeColor="text1"/>
        </w:rPr>
      </w:pPr>
    </w:p>
    <w:p w14:paraId="23DAE8F0" w14:textId="77777777" w:rsidR="00323C69" w:rsidRPr="00C17070" w:rsidRDefault="00323C69" w:rsidP="00C17070">
      <w:pPr>
        <w:spacing w:before="120" w:after="120"/>
        <w:ind w:left="284" w:right="522"/>
        <w:rPr>
          <w:rFonts w:eastAsia="Times New Roman" w:cs="Times New Roman"/>
          <w:i/>
          <w:iCs/>
          <w:color w:val="000000" w:themeColor="text1"/>
          <w:lang w:eastAsia="en-GB"/>
        </w:rPr>
      </w:pPr>
      <w:r w:rsidRPr="00C17070">
        <w:rPr>
          <w:rFonts w:eastAsia="Times New Roman" w:cs="Times New Roman"/>
          <w:i/>
          <w:iCs/>
          <w:color w:val="000000" w:themeColor="text1"/>
          <w:lang w:eastAsia="en-GB"/>
        </w:rPr>
        <w:t>[A] rhetorical counterstrategy that aims, first, to refute claims concerning the hierarchical construction of the raced, gendered, and heterosexual order; second, to essentialize and delegitimize feminist and queer theories of gender; third, to frustrate global and local gender mainstreaming efforts; fourth, to thwart gender and LGBTQI equality policies; and finally, to reaffirm heteropatriarchal conceptions of sex, gender, and sexuality.</w:t>
      </w:r>
    </w:p>
    <w:p w14:paraId="364054D4" w14:textId="77777777" w:rsidR="00323C69" w:rsidRPr="00437FB5" w:rsidRDefault="00323C69" w:rsidP="00323C69">
      <w:pPr>
        <w:contextualSpacing/>
        <w:rPr>
          <w:rFonts w:cs="Times New Roman"/>
          <w:color w:val="000000" w:themeColor="text1"/>
        </w:rPr>
      </w:pPr>
    </w:p>
    <w:p w14:paraId="53C9840F" w14:textId="16CDA536" w:rsidR="00E76E75" w:rsidRDefault="00323C69">
      <w:pPr>
        <w:contextualSpacing/>
        <w:rPr>
          <w:rFonts w:cs="Times New Roman"/>
          <w:color w:val="000000" w:themeColor="text1"/>
        </w:rPr>
      </w:pPr>
      <w:r w:rsidRPr="00437FB5">
        <w:rPr>
          <w:rFonts w:cs="Times New Roman"/>
          <w:color w:val="000000" w:themeColor="text1"/>
        </w:rPr>
        <w:t xml:space="preserve">The use of ‘gender ideology’ co-opts gender discourses to repress and reverse feminist goals of equality as trying to challenge the ‘natural’ sex and reproductive roles between men and women and destroy ‘traditional’ families and family values, an ‘intrusion’ and ‘interference’ into people’s ‘private’ lives. It often coalesces around </w:t>
      </w:r>
      <w:r w:rsidR="00E76E75">
        <w:rPr>
          <w:rFonts w:cs="Times New Roman"/>
          <w:color w:val="000000" w:themeColor="text1"/>
        </w:rPr>
        <w:t xml:space="preserve">discussions </w:t>
      </w:r>
      <w:r w:rsidRPr="00437FB5">
        <w:rPr>
          <w:rFonts w:cs="Times New Roman"/>
          <w:color w:val="000000" w:themeColor="text1"/>
        </w:rPr>
        <w:t>regarding same-sex marriage and sex and gender education in schools (</w:t>
      </w:r>
      <w:proofErr w:type="spellStart"/>
      <w:r w:rsidRPr="00437FB5">
        <w:rPr>
          <w:rFonts w:cs="Times New Roman"/>
          <w:color w:val="000000" w:themeColor="text1"/>
        </w:rPr>
        <w:t>Corredor</w:t>
      </w:r>
      <w:proofErr w:type="spellEnd"/>
      <w:r w:rsidRPr="00437FB5">
        <w:rPr>
          <w:rFonts w:cs="Times New Roman"/>
          <w:color w:val="000000" w:themeColor="text1"/>
        </w:rPr>
        <w:t>, 2019; Law 2017</w:t>
      </w:r>
    </w:p>
    <w:p w14:paraId="204E20E1" w14:textId="1A985413" w:rsidR="00323C69" w:rsidRPr="00914BB8" w:rsidRDefault="00323C69" w:rsidP="00C4511B">
      <w:pPr>
        <w:contextualSpacing/>
      </w:pPr>
    </w:p>
    <w:p w14:paraId="6978022E" w14:textId="60DE29DA" w:rsidR="00323C69" w:rsidRDefault="00323C69" w:rsidP="00323C69">
      <w:pPr>
        <w:contextualSpacing/>
        <w:rPr>
          <w:rFonts w:cs="Times New Roman"/>
          <w:color w:val="000000" w:themeColor="text1"/>
        </w:rPr>
      </w:pPr>
      <w:r>
        <w:rPr>
          <w:rFonts w:cs="Times New Roman"/>
          <w:color w:val="000000" w:themeColor="text1"/>
        </w:rPr>
        <w:t>Repression can also consist</w:t>
      </w:r>
      <w:r w:rsidRPr="00437FB5">
        <w:rPr>
          <w:rFonts w:cs="Times New Roman"/>
          <w:color w:val="000000" w:themeColor="text1"/>
        </w:rPr>
        <w:t xml:space="preserve"> of a broader </w:t>
      </w:r>
      <w:r>
        <w:rPr>
          <w:rFonts w:cs="Times New Roman"/>
          <w:color w:val="000000" w:themeColor="text1"/>
        </w:rPr>
        <w:t xml:space="preserve">pattern of </w:t>
      </w:r>
      <w:r w:rsidRPr="00437FB5">
        <w:rPr>
          <w:rFonts w:cs="Times New Roman"/>
          <w:color w:val="000000" w:themeColor="text1"/>
        </w:rPr>
        <w:t>institutional inaction and backlash that is characterised by the</w:t>
      </w:r>
      <w:r>
        <w:rPr>
          <w:rFonts w:cs="Times New Roman"/>
          <w:color w:val="000000" w:themeColor="text1"/>
        </w:rPr>
        <w:t xml:space="preserve"> removal or</w:t>
      </w:r>
      <w:r w:rsidRPr="00437FB5">
        <w:rPr>
          <w:rFonts w:cs="Times New Roman"/>
          <w:color w:val="000000" w:themeColor="text1"/>
        </w:rPr>
        <w:t xml:space="preserve"> </w:t>
      </w:r>
      <w:r w:rsidRPr="00437FB5">
        <w:rPr>
          <w:rFonts w:cs="Times New Roman"/>
          <w:i/>
          <w:iCs/>
          <w:color w:val="000000" w:themeColor="text1"/>
        </w:rPr>
        <w:t>absence</w:t>
      </w:r>
      <w:r w:rsidRPr="00437FB5">
        <w:rPr>
          <w:rFonts w:cs="Times New Roman"/>
          <w:color w:val="000000" w:themeColor="text1"/>
        </w:rPr>
        <w:t xml:space="preserve"> </w:t>
      </w:r>
      <w:r>
        <w:rPr>
          <w:rFonts w:cs="Times New Roman"/>
          <w:color w:val="000000" w:themeColor="text1"/>
        </w:rPr>
        <w:t>o</w:t>
      </w:r>
      <w:r w:rsidRPr="00437FB5">
        <w:rPr>
          <w:rFonts w:cs="Times New Roman"/>
          <w:color w:val="000000" w:themeColor="text1"/>
        </w:rPr>
        <w:t xml:space="preserve">f </w:t>
      </w:r>
      <w:r>
        <w:rPr>
          <w:rFonts w:cs="Times New Roman"/>
          <w:color w:val="000000" w:themeColor="text1"/>
        </w:rPr>
        <w:t xml:space="preserve">support and </w:t>
      </w:r>
      <w:r w:rsidRPr="00437FB5">
        <w:rPr>
          <w:rFonts w:cs="Times New Roman"/>
          <w:color w:val="000000" w:themeColor="text1"/>
        </w:rPr>
        <w:t>resourcing for</w:t>
      </w:r>
      <w:r>
        <w:rPr>
          <w:rFonts w:cs="Times New Roman"/>
          <w:color w:val="000000" w:themeColor="text1"/>
        </w:rPr>
        <w:t xml:space="preserve"> primary prevention of violence against women and</w:t>
      </w:r>
      <w:r w:rsidRPr="00437FB5">
        <w:rPr>
          <w:rFonts w:cs="Times New Roman"/>
          <w:color w:val="000000" w:themeColor="text1"/>
        </w:rPr>
        <w:t xml:space="preserve"> </w:t>
      </w:r>
      <w:r>
        <w:rPr>
          <w:rFonts w:cs="Times New Roman"/>
          <w:color w:val="000000" w:themeColor="text1"/>
        </w:rPr>
        <w:t>gender equality policies and programs</w:t>
      </w:r>
      <w:r w:rsidRPr="00437FB5">
        <w:rPr>
          <w:rFonts w:cs="Times New Roman"/>
          <w:color w:val="000000" w:themeColor="text1"/>
        </w:rPr>
        <w:t xml:space="preserve">. This </w:t>
      </w:r>
      <w:r>
        <w:rPr>
          <w:rFonts w:cs="Times New Roman"/>
          <w:color w:val="000000" w:themeColor="text1"/>
        </w:rPr>
        <w:t>absence of support and devaluing of women’s labour that corresponds with stereotypical constructions of the work women do in the private sphere (such as caring), is</w:t>
      </w:r>
      <w:r w:rsidRPr="00437FB5">
        <w:rPr>
          <w:rFonts w:cs="Times New Roman"/>
          <w:color w:val="000000" w:themeColor="text1"/>
        </w:rPr>
        <w:t xml:space="preserve"> amplified in the context of the Covid-19 economic climate where the importance of essential services provided by female dominated industries being on the frontline of the pandemic (childcare, nursing, </w:t>
      </w:r>
      <w:r>
        <w:rPr>
          <w:rFonts w:cs="Times New Roman"/>
          <w:color w:val="000000" w:themeColor="text1"/>
        </w:rPr>
        <w:t xml:space="preserve">aged care, </w:t>
      </w:r>
      <w:r w:rsidRPr="00437FB5">
        <w:rPr>
          <w:rFonts w:cs="Times New Roman"/>
          <w:color w:val="000000" w:themeColor="text1"/>
        </w:rPr>
        <w:t>childhood education) have clearly been underscored (</w:t>
      </w:r>
      <w:r w:rsidR="00E76E75">
        <w:rPr>
          <w:rFonts w:cs="Times New Roman"/>
          <w:color w:val="000000" w:themeColor="text1"/>
        </w:rPr>
        <w:t>Our Watch</w:t>
      </w:r>
      <w:r w:rsidR="002C5796">
        <w:rPr>
          <w:rFonts w:cs="Times New Roman"/>
          <w:color w:val="000000" w:themeColor="text1"/>
        </w:rPr>
        <w:t>,</w:t>
      </w:r>
      <w:r w:rsidR="00E76E75">
        <w:rPr>
          <w:rFonts w:cs="Times New Roman"/>
          <w:color w:val="000000" w:themeColor="text1"/>
        </w:rPr>
        <w:t xml:space="preserve"> 2020b</w:t>
      </w:r>
      <w:r w:rsidR="002C5796">
        <w:rPr>
          <w:rFonts w:cs="Times New Roman"/>
          <w:color w:val="000000" w:themeColor="text1"/>
        </w:rPr>
        <w:t>,</w:t>
      </w:r>
      <w:r w:rsidR="00E76E75">
        <w:rPr>
          <w:rFonts w:cs="Times New Roman"/>
          <w:color w:val="000000" w:themeColor="text1"/>
        </w:rPr>
        <w:t xml:space="preserve"> pp.21-22</w:t>
      </w:r>
      <w:r w:rsidRPr="00437FB5">
        <w:rPr>
          <w:rFonts w:cs="Times New Roman"/>
          <w:color w:val="000000" w:themeColor="text1"/>
        </w:rPr>
        <w:t>).</w:t>
      </w:r>
      <w:r>
        <w:rPr>
          <w:rFonts w:cs="Times New Roman"/>
          <w:color w:val="000000" w:themeColor="text1"/>
        </w:rPr>
        <w:t xml:space="preserve"> </w:t>
      </w:r>
    </w:p>
    <w:p w14:paraId="3BF89087" w14:textId="77777777" w:rsidR="00323C69" w:rsidRPr="00437FB5" w:rsidRDefault="00323C69" w:rsidP="00323C69">
      <w:pPr>
        <w:contextualSpacing/>
        <w:rPr>
          <w:rFonts w:cs="Times New Roman"/>
          <w:color w:val="000000" w:themeColor="text1"/>
        </w:rPr>
      </w:pPr>
    </w:p>
    <w:p w14:paraId="1794BD9B" w14:textId="45F87EF0" w:rsidR="00323C69" w:rsidRDefault="00323C69" w:rsidP="00323C69">
      <w:pPr>
        <w:contextualSpacing/>
        <w:rPr>
          <w:rFonts w:cs="Times New Roman"/>
          <w:color w:val="000000" w:themeColor="text1"/>
        </w:rPr>
      </w:pPr>
      <w:r>
        <w:rPr>
          <w:rFonts w:cs="Times New Roman"/>
          <w:color w:val="000000" w:themeColor="text1"/>
        </w:rPr>
        <w:t>Reducing or halting support and resourcing to violence against women prevention infrastructure can be considered repression given the ongoing prevalence of violence against women. In an organisational context, repression may look like the weakening of robust primary prevention policies or removal of them all together. Repression, especially resourcing</w:t>
      </w:r>
      <w:r w:rsidRPr="00437FB5">
        <w:rPr>
          <w:rFonts w:cs="Times New Roman"/>
          <w:color w:val="000000" w:themeColor="text1"/>
        </w:rPr>
        <w:t xml:space="preserve">, </w:t>
      </w:r>
      <w:r>
        <w:rPr>
          <w:rFonts w:cs="Times New Roman"/>
          <w:color w:val="000000" w:themeColor="text1"/>
        </w:rPr>
        <w:t>can be</w:t>
      </w:r>
      <w:r w:rsidRPr="00437FB5">
        <w:rPr>
          <w:rFonts w:cs="Times New Roman"/>
          <w:color w:val="000000" w:themeColor="text1"/>
        </w:rPr>
        <w:t xml:space="preserve"> predicated on sustaining and sometimes reinforcing the gendered drivers of violence by prioritising ideological values and beliefs</w:t>
      </w:r>
      <w:r>
        <w:rPr>
          <w:rFonts w:cs="Times New Roman"/>
          <w:color w:val="000000" w:themeColor="text1"/>
        </w:rPr>
        <w:t xml:space="preserve"> </w:t>
      </w:r>
      <w:r w:rsidRPr="00437FB5">
        <w:rPr>
          <w:rFonts w:cs="Times New Roman"/>
          <w:color w:val="000000" w:themeColor="text1"/>
        </w:rPr>
        <w:t xml:space="preserve">over evidence and best practice. </w:t>
      </w:r>
    </w:p>
    <w:p w14:paraId="219DBB5E" w14:textId="77777777" w:rsidR="00323C69" w:rsidRDefault="00323C69" w:rsidP="00323C69">
      <w:pPr>
        <w:contextualSpacing/>
        <w:rPr>
          <w:rFonts w:cs="Times New Roman"/>
          <w:color w:val="000000" w:themeColor="text1"/>
        </w:rPr>
      </w:pPr>
    </w:p>
    <w:p w14:paraId="49CD6183" w14:textId="09B73700" w:rsidR="00323C69" w:rsidRPr="00437FB5" w:rsidRDefault="00323C69" w:rsidP="00323C69">
      <w:pPr>
        <w:contextualSpacing/>
        <w:rPr>
          <w:rFonts w:cs="Times New Roman"/>
          <w:color w:val="000000" w:themeColor="text1"/>
        </w:rPr>
      </w:pPr>
      <w:r>
        <w:rPr>
          <w:rFonts w:cs="Times New Roman"/>
          <w:color w:val="000000" w:themeColor="text1"/>
        </w:rPr>
        <w:t xml:space="preserve">Repression, therefore, is removing and/or </w:t>
      </w:r>
      <w:r>
        <w:rPr>
          <w:rFonts w:cs="Times New Roman"/>
          <w:color w:val="000000" w:themeColor="text1"/>
        </w:rPr>
        <w:lastRenderedPageBreak/>
        <w:t xml:space="preserve">watering down a primary prevention intervention, policy, or law or defunding an initiative </w:t>
      </w:r>
      <w:r w:rsidR="00E76E75">
        <w:rPr>
          <w:rFonts w:cs="Times New Roman"/>
          <w:color w:val="000000" w:themeColor="text1"/>
        </w:rPr>
        <w:t>as part of efforts to reverse or dismantle gender equality initiatives</w:t>
      </w:r>
      <w:r>
        <w:rPr>
          <w:rFonts w:cs="Times New Roman"/>
          <w:color w:val="000000" w:themeColor="text1"/>
        </w:rPr>
        <w:t xml:space="preserve">. It can be driven by individuals and groups through influencing and lobbying decision-makers to dismantle progress made towards challenging </w:t>
      </w:r>
      <w:r w:rsidR="00E76E75">
        <w:rPr>
          <w:rFonts w:cs="Times New Roman"/>
          <w:color w:val="000000" w:themeColor="text1"/>
        </w:rPr>
        <w:t>violence against women</w:t>
      </w:r>
      <w:r>
        <w:rPr>
          <w:rFonts w:cs="Times New Roman"/>
          <w:color w:val="000000" w:themeColor="text1"/>
        </w:rPr>
        <w:t>.</w:t>
      </w:r>
    </w:p>
    <w:p w14:paraId="5AFD992A" w14:textId="6FBCD971" w:rsidR="004B3F7D" w:rsidRDefault="004B3F7D" w:rsidP="004B3F7D">
      <w:pPr>
        <w:contextualSpacing/>
        <w:rPr>
          <w:rFonts w:cs="Times New Roman"/>
          <w:color w:val="000000" w:themeColor="text1"/>
        </w:rPr>
      </w:pPr>
    </w:p>
    <w:p w14:paraId="3AEEBC9C" w14:textId="73C6908C" w:rsidR="00E76E75" w:rsidRDefault="00E76E75" w:rsidP="004B3F7D">
      <w:pPr>
        <w:contextualSpacing/>
        <w:rPr>
          <w:rFonts w:cs="Times New Roman"/>
          <w:color w:val="000000" w:themeColor="text1"/>
        </w:rPr>
      </w:pPr>
    </w:p>
    <w:p w14:paraId="23A44FEF" w14:textId="77777777" w:rsidR="00E76E75" w:rsidRPr="00437FB5" w:rsidRDefault="00E76E75" w:rsidP="004B3F7D">
      <w:pPr>
        <w:contextualSpacing/>
        <w:rPr>
          <w:rFonts w:cs="Times New Roman"/>
          <w:color w:val="000000" w:themeColor="text1"/>
        </w:rPr>
      </w:pPr>
    </w:p>
    <w:p w14:paraId="4D9381A8" w14:textId="007534B7" w:rsidR="00323C69" w:rsidRPr="00D93763" w:rsidRDefault="00323C69" w:rsidP="00323C69">
      <w:pPr>
        <w:pStyle w:val="Mainbody-subheadings"/>
        <w:spacing w:before="120"/>
      </w:pPr>
      <w:bookmarkStart w:id="69" w:name="_Toc85620732"/>
      <w:bookmarkStart w:id="70" w:name="_Toc87526319"/>
      <w:r>
        <w:t>Backlash</w:t>
      </w:r>
      <w:bookmarkStart w:id="71" w:name="_Hlk85549812"/>
      <w:bookmarkEnd w:id="69"/>
      <w:bookmarkEnd w:id="70"/>
    </w:p>
    <w:bookmarkEnd w:id="71"/>
    <w:p w14:paraId="3ACC287C" w14:textId="3C361C26" w:rsidR="00CD5E7D" w:rsidRDefault="00323C69" w:rsidP="00323C69">
      <w:pPr>
        <w:rPr>
          <w:rFonts w:cs="Calibri"/>
          <w:color w:val="000000" w:themeColor="text1"/>
        </w:rPr>
      </w:pPr>
      <w:r w:rsidRPr="00437FB5">
        <w:rPr>
          <w:rFonts w:cs="Calibri"/>
          <w:color w:val="000000" w:themeColor="text1"/>
        </w:rPr>
        <w:t xml:space="preserve">The most explicit and active </w:t>
      </w:r>
      <w:r>
        <w:rPr>
          <w:rFonts w:cs="Calibri"/>
          <w:color w:val="000000" w:themeColor="text1"/>
        </w:rPr>
        <w:t>form of</w:t>
      </w:r>
      <w:r w:rsidRPr="00437FB5">
        <w:rPr>
          <w:rFonts w:cs="Calibri"/>
          <w:color w:val="000000" w:themeColor="text1"/>
        </w:rPr>
        <w:t xml:space="preserve"> resistance</w:t>
      </w:r>
      <w:r>
        <w:rPr>
          <w:rFonts w:cs="Calibri"/>
          <w:color w:val="000000" w:themeColor="text1"/>
        </w:rPr>
        <w:t xml:space="preserve"> to primary prevention and gender equality</w:t>
      </w:r>
      <w:r w:rsidRPr="00437FB5">
        <w:rPr>
          <w:rFonts w:cs="Calibri"/>
          <w:color w:val="000000" w:themeColor="text1"/>
        </w:rPr>
        <w:t xml:space="preserve"> is backlash</w:t>
      </w:r>
      <w:r>
        <w:rPr>
          <w:rFonts w:cs="Calibri"/>
          <w:color w:val="000000" w:themeColor="text1"/>
        </w:rPr>
        <w:t xml:space="preserve">. </w:t>
      </w:r>
      <w:r w:rsidRPr="00437FB5">
        <w:rPr>
          <w:rFonts w:cs="Calibri"/>
          <w:color w:val="000000" w:themeColor="text1"/>
        </w:rPr>
        <w:t xml:space="preserve">It manifests in many different forms that encompass a broad range of </w:t>
      </w:r>
      <w:r>
        <w:rPr>
          <w:rFonts w:cs="Calibri"/>
          <w:color w:val="000000" w:themeColor="text1"/>
        </w:rPr>
        <w:t xml:space="preserve">deliberate actions, behaviours, </w:t>
      </w:r>
      <w:proofErr w:type="gramStart"/>
      <w:r>
        <w:rPr>
          <w:rFonts w:cs="Calibri"/>
          <w:color w:val="000000" w:themeColor="text1"/>
        </w:rPr>
        <w:t>practices</w:t>
      </w:r>
      <w:proofErr w:type="gramEnd"/>
      <w:r>
        <w:rPr>
          <w:rFonts w:cs="Calibri"/>
          <w:color w:val="000000" w:themeColor="text1"/>
        </w:rPr>
        <w:t xml:space="preserve"> and structures. In its extreme forms, backlash is overtly and deliberately hostile and can involve physical, </w:t>
      </w:r>
      <w:proofErr w:type="gramStart"/>
      <w:r>
        <w:rPr>
          <w:rFonts w:cs="Calibri"/>
          <w:color w:val="000000" w:themeColor="text1"/>
        </w:rPr>
        <w:t>sexual</w:t>
      </w:r>
      <w:proofErr w:type="gramEnd"/>
      <w:r>
        <w:rPr>
          <w:rFonts w:cs="Calibri"/>
          <w:color w:val="000000" w:themeColor="text1"/>
        </w:rPr>
        <w:t xml:space="preserve"> and online violence and threats of violence. However, it is also exhibited</w:t>
      </w:r>
      <w:r>
        <w:t xml:space="preserve"> through a range of </w:t>
      </w:r>
      <w:r>
        <w:rPr>
          <w:rFonts w:cs="Calibri"/>
          <w:color w:val="000000" w:themeColor="text1"/>
        </w:rPr>
        <w:t>aggressive and attacking discourses, behaviours and actions that deny the problem of men’s violence against women and deliberately undermine primary prevention of efforts and gender equality goals. These forms of backlash are more ‘mainstream’ and can be exhibited by individuals as well as organised groups that may be seen as ‘reputable’ and ‘authoritative’ on such issues</w:t>
      </w:r>
      <w:r w:rsidR="00E76E75">
        <w:rPr>
          <w:rFonts w:cs="Calibri"/>
          <w:color w:val="000000" w:themeColor="text1"/>
        </w:rPr>
        <w:t>.</w:t>
      </w:r>
    </w:p>
    <w:p w14:paraId="58DB9580" w14:textId="77777777" w:rsidR="00CD5E7D" w:rsidRDefault="00CD5E7D" w:rsidP="00323C69">
      <w:pPr>
        <w:rPr>
          <w:rFonts w:cs="Calibri"/>
          <w:color w:val="000000" w:themeColor="text1"/>
        </w:rPr>
      </w:pPr>
    </w:p>
    <w:p w14:paraId="476091B8" w14:textId="0A1C7DAF" w:rsidR="00CD5E7D" w:rsidRDefault="00323C69" w:rsidP="00323C69">
      <w:pPr>
        <w:rPr>
          <w:rFonts w:cs="Times New Roman"/>
          <w:color w:val="000000" w:themeColor="text1"/>
        </w:rPr>
      </w:pPr>
      <w:r>
        <w:rPr>
          <w:rFonts w:cs="Calibri"/>
          <w:color w:val="000000" w:themeColor="text1"/>
        </w:rPr>
        <w:t xml:space="preserve">Salter (2016b, p. 70) </w:t>
      </w:r>
      <w:r w:rsidR="00E76E75">
        <w:rPr>
          <w:rFonts w:cs="Calibri"/>
          <w:color w:val="000000" w:themeColor="text1"/>
        </w:rPr>
        <w:t xml:space="preserve">discusses </w:t>
      </w:r>
      <w:r>
        <w:rPr>
          <w:rFonts w:cs="Calibri"/>
          <w:color w:val="000000" w:themeColor="text1"/>
        </w:rPr>
        <w:t xml:space="preserve">how some individuals in the men’s rights movement in Australia label themselves as men’s health experts and consultants and align themselves with sympathetic academics and health practitioners. </w:t>
      </w:r>
      <w:r>
        <w:rPr>
          <w:rFonts w:cs="Times New Roman"/>
          <w:color w:val="000000" w:themeColor="text1"/>
        </w:rPr>
        <w:t>Such resistors who display s</w:t>
      </w:r>
      <w:r w:rsidRPr="00437FB5">
        <w:rPr>
          <w:rFonts w:cs="Times New Roman"/>
          <w:color w:val="000000" w:themeColor="text1"/>
        </w:rPr>
        <w:t xml:space="preserve">exism and misogyny (as well as racism, </w:t>
      </w:r>
      <w:proofErr w:type="gramStart"/>
      <w:r w:rsidRPr="00437FB5">
        <w:rPr>
          <w:rFonts w:cs="Times New Roman"/>
          <w:color w:val="000000" w:themeColor="text1"/>
        </w:rPr>
        <w:t>ableism</w:t>
      </w:r>
      <w:proofErr w:type="gramEnd"/>
      <w:r w:rsidRPr="00437FB5">
        <w:rPr>
          <w:rFonts w:cs="Times New Roman"/>
          <w:color w:val="000000" w:themeColor="text1"/>
        </w:rPr>
        <w:t xml:space="preserve"> and homophobia)</w:t>
      </w:r>
      <w:r>
        <w:rPr>
          <w:rFonts w:cs="Times New Roman"/>
          <w:color w:val="000000" w:themeColor="text1"/>
        </w:rPr>
        <w:t xml:space="preserve"> often invoke</w:t>
      </w:r>
      <w:r w:rsidRPr="00437FB5">
        <w:rPr>
          <w:rFonts w:cs="Times New Roman"/>
          <w:color w:val="000000" w:themeColor="text1"/>
        </w:rPr>
        <w:t xml:space="preserve"> ‘political correctness’ to justify </w:t>
      </w:r>
      <w:r>
        <w:rPr>
          <w:rFonts w:cs="Times New Roman"/>
          <w:color w:val="000000" w:themeColor="text1"/>
        </w:rPr>
        <w:t xml:space="preserve">continued </w:t>
      </w:r>
      <w:r w:rsidRPr="00437FB5">
        <w:rPr>
          <w:rFonts w:cs="Times New Roman"/>
          <w:color w:val="000000" w:themeColor="text1"/>
        </w:rPr>
        <w:t xml:space="preserve">repression and oppression. </w:t>
      </w:r>
    </w:p>
    <w:p w14:paraId="7F948B08" w14:textId="77777777" w:rsidR="00CD5E7D" w:rsidRDefault="00CD5E7D" w:rsidP="00323C69">
      <w:pPr>
        <w:rPr>
          <w:rFonts w:cs="Times New Roman"/>
          <w:color w:val="000000" w:themeColor="text1"/>
        </w:rPr>
      </w:pPr>
    </w:p>
    <w:p w14:paraId="5118AFD4" w14:textId="16A2D76A" w:rsidR="00323C69" w:rsidRPr="00A46B30" w:rsidRDefault="00323C69" w:rsidP="00323C69">
      <w:r>
        <w:rPr>
          <w:rFonts w:cs="Times New Roman"/>
          <w:color w:val="000000" w:themeColor="text1"/>
        </w:rPr>
        <w:t>For example, claims of ‘p</w:t>
      </w:r>
      <w:r w:rsidRPr="00437FB5">
        <w:rPr>
          <w:rFonts w:cs="Times New Roman"/>
          <w:color w:val="000000" w:themeColor="text1"/>
        </w:rPr>
        <w:t>olitical correctness</w:t>
      </w:r>
      <w:r>
        <w:rPr>
          <w:rFonts w:cs="Times New Roman"/>
          <w:color w:val="000000" w:themeColor="text1"/>
        </w:rPr>
        <w:t>’</w:t>
      </w:r>
      <w:r w:rsidRPr="00437FB5">
        <w:rPr>
          <w:rFonts w:cs="Times New Roman"/>
          <w:color w:val="000000" w:themeColor="text1"/>
        </w:rPr>
        <w:t xml:space="preserve"> or</w:t>
      </w:r>
      <w:r>
        <w:rPr>
          <w:rFonts w:cs="Times New Roman"/>
          <w:color w:val="000000" w:themeColor="text1"/>
        </w:rPr>
        <w:t xml:space="preserve"> references to the</w:t>
      </w:r>
      <w:r w:rsidRPr="00437FB5">
        <w:rPr>
          <w:rFonts w:cs="Times New Roman"/>
          <w:color w:val="000000" w:themeColor="text1"/>
        </w:rPr>
        <w:t xml:space="preserve"> ‘PC police’ (those who call out misogyny and sexism) ha</w:t>
      </w:r>
      <w:r>
        <w:rPr>
          <w:rFonts w:cs="Times New Roman"/>
          <w:color w:val="000000" w:themeColor="text1"/>
        </w:rPr>
        <w:t>ve</w:t>
      </w:r>
      <w:r w:rsidRPr="00437FB5">
        <w:rPr>
          <w:rFonts w:cs="Times New Roman"/>
          <w:color w:val="000000" w:themeColor="text1"/>
        </w:rPr>
        <w:t xml:space="preserve"> been used </w:t>
      </w:r>
      <w:r>
        <w:rPr>
          <w:rFonts w:cs="Times New Roman"/>
          <w:color w:val="000000" w:themeColor="text1"/>
        </w:rPr>
        <w:t xml:space="preserve">to try to counter the </w:t>
      </w:r>
      <w:r w:rsidRPr="00437FB5">
        <w:rPr>
          <w:rFonts w:cs="Times New Roman"/>
          <w:color w:val="000000" w:themeColor="text1"/>
        </w:rPr>
        <w:t xml:space="preserve">increasing recognition of sexual harassment embodied through the #MeToo movement, where feminism </w:t>
      </w:r>
      <w:r>
        <w:rPr>
          <w:rFonts w:cs="Times New Roman"/>
          <w:color w:val="000000" w:themeColor="text1"/>
        </w:rPr>
        <w:t>is represented as having ‘</w:t>
      </w:r>
      <w:r w:rsidRPr="00437FB5">
        <w:rPr>
          <w:rFonts w:cs="Times New Roman"/>
          <w:color w:val="000000" w:themeColor="text1"/>
        </w:rPr>
        <w:t xml:space="preserve">gone too far’ (See Our Watch 2019, p. 92; </w:t>
      </w:r>
      <w:proofErr w:type="spellStart"/>
      <w:r w:rsidRPr="00437FB5">
        <w:rPr>
          <w:rFonts w:cs="Times New Roman"/>
          <w:color w:val="000000" w:themeColor="text1"/>
        </w:rPr>
        <w:t>Gottell</w:t>
      </w:r>
      <w:proofErr w:type="spellEnd"/>
      <w:r w:rsidRPr="00437FB5">
        <w:rPr>
          <w:rFonts w:cs="Times New Roman"/>
          <w:color w:val="000000" w:themeColor="text1"/>
        </w:rPr>
        <w:t xml:space="preserve"> and Dutton, 2016). </w:t>
      </w:r>
      <w:r>
        <w:rPr>
          <w:rFonts w:cs="Times New Roman"/>
          <w:color w:val="000000" w:themeColor="text1"/>
        </w:rPr>
        <w:t>Claims of ‘p</w:t>
      </w:r>
      <w:r w:rsidRPr="00437FB5">
        <w:rPr>
          <w:rFonts w:cs="Times New Roman"/>
          <w:color w:val="000000" w:themeColor="text1"/>
        </w:rPr>
        <w:t>olitical correctness</w:t>
      </w:r>
      <w:r>
        <w:rPr>
          <w:rFonts w:cs="Times New Roman"/>
          <w:color w:val="000000" w:themeColor="text1"/>
        </w:rPr>
        <w:t>’</w:t>
      </w:r>
      <w:r w:rsidRPr="00437FB5">
        <w:rPr>
          <w:rFonts w:cs="Times New Roman"/>
          <w:color w:val="000000" w:themeColor="text1"/>
        </w:rPr>
        <w:t xml:space="preserve"> </w:t>
      </w:r>
      <w:r>
        <w:rPr>
          <w:rFonts w:cs="Times New Roman"/>
          <w:color w:val="000000" w:themeColor="text1"/>
        </w:rPr>
        <w:t>are</w:t>
      </w:r>
      <w:r w:rsidRPr="00437FB5">
        <w:rPr>
          <w:rFonts w:cs="Times New Roman"/>
          <w:color w:val="000000" w:themeColor="text1"/>
        </w:rPr>
        <w:t xml:space="preserve"> </w:t>
      </w:r>
      <w:r>
        <w:rPr>
          <w:rFonts w:cs="Times New Roman"/>
          <w:color w:val="000000" w:themeColor="text1"/>
        </w:rPr>
        <w:t xml:space="preserve">often </w:t>
      </w:r>
      <w:r w:rsidRPr="00437FB5">
        <w:rPr>
          <w:rFonts w:cs="Times New Roman"/>
          <w:color w:val="000000" w:themeColor="text1"/>
        </w:rPr>
        <w:t>justified by use of ‘freedom of speech’ at an institutional level and comments like ‘don’t be so sensitive, can’t you take a joke’ at a more individual level (</w:t>
      </w:r>
      <w:r w:rsidR="00695A9A">
        <w:rPr>
          <w:rFonts w:cs="Times New Roman"/>
          <w:color w:val="000000" w:themeColor="text1"/>
        </w:rPr>
        <w:t>see, e</w:t>
      </w:r>
      <w:r w:rsidR="00657720">
        <w:rPr>
          <w:rFonts w:cs="Times New Roman"/>
          <w:color w:val="000000" w:themeColor="text1"/>
        </w:rPr>
        <w:t>.</w:t>
      </w:r>
      <w:r w:rsidR="00695A9A">
        <w:rPr>
          <w:rFonts w:cs="Times New Roman"/>
          <w:color w:val="000000" w:themeColor="text1"/>
        </w:rPr>
        <w:t>g</w:t>
      </w:r>
      <w:r w:rsidR="00657720">
        <w:rPr>
          <w:rFonts w:cs="Times New Roman"/>
          <w:color w:val="000000" w:themeColor="text1"/>
        </w:rPr>
        <w:t>.</w:t>
      </w:r>
      <w:r w:rsidR="00695A9A">
        <w:rPr>
          <w:rFonts w:cs="Times New Roman"/>
          <w:color w:val="000000" w:themeColor="text1"/>
        </w:rPr>
        <w:t xml:space="preserve">, </w:t>
      </w:r>
      <w:r w:rsidRPr="00437FB5">
        <w:rPr>
          <w:rFonts w:cs="Times New Roman"/>
          <w:color w:val="000000" w:themeColor="text1"/>
        </w:rPr>
        <w:t xml:space="preserve">Crabb 2019). </w:t>
      </w:r>
    </w:p>
    <w:p w14:paraId="3B1E2EAC" w14:textId="77777777" w:rsidR="00323C69" w:rsidRDefault="00323C69" w:rsidP="00323C69">
      <w:pPr>
        <w:rPr>
          <w:rFonts w:cs="Calibri"/>
          <w:color w:val="000000" w:themeColor="text1"/>
        </w:rPr>
      </w:pPr>
    </w:p>
    <w:p w14:paraId="182DD559" w14:textId="0B5BA12D" w:rsidR="00CD5E7D" w:rsidRDefault="00323C69" w:rsidP="00323C69">
      <w:pPr>
        <w:contextualSpacing/>
        <w:rPr>
          <w:rFonts w:cs="Times New Roman"/>
          <w:color w:val="000000" w:themeColor="text1"/>
        </w:rPr>
      </w:pPr>
      <w:r w:rsidRPr="00323C69">
        <w:rPr>
          <w:rFonts w:cs="Times New Roman"/>
          <w:color w:val="000000" w:themeColor="text1"/>
        </w:rPr>
        <w:t xml:space="preserve">Backlash is well documented, within a body of literature that maps men’s rights activists in Australia and internationally (Archer 2018; Our Watch 2019; Flood et al., 2018). </w:t>
      </w:r>
      <w:r w:rsidR="00E76E75">
        <w:rPr>
          <w:rFonts w:cs="Times New Roman"/>
          <w:color w:val="000000" w:themeColor="text1"/>
        </w:rPr>
        <w:t>Research indicates</w:t>
      </w:r>
      <w:r w:rsidR="009E41D4">
        <w:rPr>
          <w:rFonts w:cs="Times New Roman"/>
          <w:color w:val="000000" w:themeColor="text1"/>
        </w:rPr>
        <w:t xml:space="preserve"> that</w:t>
      </w:r>
      <w:r w:rsidR="00E76E75">
        <w:rPr>
          <w:rFonts w:cs="Times New Roman"/>
          <w:color w:val="000000" w:themeColor="text1"/>
        </w:rPr>
        <w:t xml:space="preserve"> some men</w:t>
      </w:r>
      <w:r w:rsidR="009E41D4">
        <w:rPr>
          <w:rFonts w:cs="Times New Roman"/>
          <w:color w:val="000000" w:themeColor="text1"/>
        </w:rPr>
        <w:t>’</w:t>
      </w:r>
      <w:r w:rsidR="00E76E75">
        <w:rPr>
          <w:rFonts w:cs="Times New Roman"/>
          <w:color w:val="000000" w:themeColor="text1"/>
        </w:rPr>
        <w:t>s rights activists</w:t>
      </w:r>
      <w:r w:rsidR="00E76E75" w:rsidRPr="00323C69">
        <w:rPr>
          <w:rFonts w:cs="Times New Roman"/>
          <w:color w:val="000000" w:themeColor="text1"/>
        </w:rPr>
        <w:t xml:space="preserve"> </w:t>
      </w:r>
      <w:r w:rsidRPr="00323C69">
        <w:rPr>
          <w:rFonts w:cs="Times New Roman"/>
          <w:color w:val="000000" w:themeColor="text1"/>
        </w:rPr>
        <w:t xml:space="preserve">seek to undermine feminist efforts by claiming that feminism perpetuates sexism and a world where men are oppressed: “feminism is seen as a movement that victimises men and boys” (Our Watch 2019, p. 92). </w:t>
      </w:r>
    </w:p>
    <w:p w14:paraId="12929211" w14:textId="77777777" w:rsidR="00CD5E7D" w:rsidRDefault="00CD5E7D" w:rsidP="00323C69">
      <w:pPr>
        <w:contextualSpacing/>
        <w:rPr>
          <w:rFonts w:cs="Times New Roman"/>
          <w:color w:val="000000" w:themeColor="text1"/>
        </w:rPr>
      </w:pPr>
    </w:p>
    <w:p w14:paraId="6F4266BC" w14:textId="038629B1" w:rsidR="00CD5E7D" w:rsidRDefault="009E41D4" w:rsidP="00323C69">
      <w:pPr>
        <w:contextualSpacing/>
        <w:rPr>
          <w:rFonts w:cs="Times New Roman"/>
          <w:color w:val="000000" w:themeColor="text1"/>
        </w:rPr>
      </w:pPr>
      <w:r>
        <w:rPr>
          <w:rFonts w:cs="Times New Roman"/>
          <w:color w:val="000000" w:themeColor="text1"/>
        </w:rPr>
        <w:t>Research indicates that</w:t>
      </w:r>
      <w:r w:rsidRPr="00323C69">
        <w:rPr>
          <w:rFonts w:cs="Times New Roman"/>
          <w:color w:val="000000" w:themeColor="text1"/>
        </w:rPr>
        <w:t xml:space="preserve"> </w:t>
      </w:r>
      <w:r w:rsidR="00323C69" w:rsidRPr="00323C69">
        <w:rPr>
          <w:rFonts w:cs="Times New Roman"/>
          <w:color w:val="000000" w:themeColor="text1"/>
        </w:rPr>
        <w:t>men’s rights and fathers’ rights movements emphasise a crisis of masculinity and are underpinned by men’s assumed entitlement to social power (</w:t>
      </w:r>
      <w:proofErr w:type="spellStart"/>
      <w:r w:rsidR="00323C69" w:rsidRPr="00323C69">
        <w:rPr>
          <w:rFonts w:cs="Times New Roman"/>
          <w:color w:val="000000" w:themeColor="text1"/>
        </w:rPr>
        <w:t>Blais</w:t>
      </w:r>
      <w:proofErr w:type="spellEnd"/>
      <w:r w:rsidR="00323C69" w:rsidRPr="00323C69">
        <w:rPr>
          <w:rFonts w:cs="Times New Roman"/>
          <w:color w:val="000000" w:themeColor="text1"/>
        </w:rPr>
        <w:t xml:space="preserve"> and Dupuis-</w:t>
      </w:r>
      <w:proofErr w:type="spellStart"/>
      <w:r w:rsidR="00323C69" w:rsidRPr="00323C69">
        <w:rPr>
          <w:rFonts w:cs="Times New Roman"/>
          <w:color w:val="000000" w:themeColor="text1"/>
        </w:rPr>
        <w:t>Déri</w:t>
      </w:r>
      <w:proofErr w:type="spellEnd"/>
      <w:r w:rsidR="00323C69" w:rsidRPr="00323C69">
        <w:rPr>
          <w:rFonts w:cs="Times New Roman"/>
          <w:color w:val="000000" w:themeColor="text1"/>
        </w:rPr>
        <w:t xml:space="preserve"> 2011; </w:t>
      </w:r>
      <w:proofErr w:type="spellStart"/>
      <w:r w:rsidR="00323C69" w:rsidRPr="00323C69">
        <w:rPr>
          <w:rFonts w:cs="Times New Roman"/>
          <w:color w:val="000000" w:themeColor="text1"/>
        </w:rPr>
        <w:t>Dragiewicz</w:t>
      </w:r>
      <w:proofErr w:type="spellEnd"/>
      <w:r w:rsidR="00323C69" w:rsidRPr="00323C69">
        <w:rPr>
          <w:rFonts w:cs="Times New Roman"/>
          <w:color w:val="000000" w:themeColor="text1"/>
        </w:rPr>
        <w:t xml:space="preserve"> 2011; Salter 2016b; Schmitz and </w:t>
      </w:r>
      <w:proofErr w:type="spellStart"/>
      <w:r w:rsidR="00323C69" w:rsidRPr="00323C69">
        <w:rPr>
          <w:rFonts w:cs="Times New Roman"/>
          <w:color w:val="000000" w:themeColor="text1"/>
        </w:rPr>
        <w:t>Kazyak</w:t>
      </w:r>
      <w:proofErr w:type="spellEnd"/>
      <w:r w:rsidR="00323C69" w:rsidRPr="00323C69">
        <w:rPr>
          <w:rFonts w:cs="Times New Roman"/>
          <w:color w:val="000000" w:themeColor="text1"/>
        </w:rPr>
        <w:t xml:space="preserve"> 2016). This kind of backlash is predominantly online in what has been termed the ‘manosphere’ and is a loose network of people who are, among others, </w:t>
      </w:r>
      <w:r>
        <w:rPr>
          <w:rFonts w:cs="Times New Roman"/>
          <w:color w:val="000000" w:themeColor="text1"/>
        </w:rPr>
        <w:t>men’s rights activists</w:t>
      </w:r>
      <w:r w:rsidR="00323C69" w:rsidRPr="00323C69">
        <w:rPr>
          <w:rFonts w:cs="Times New Roman"/>
          <w:color w:val="000000" w:themeColor="text1"/>
        </w:rPr>
        <w:t xml:space="preserve">, father’s rights activists, and </w:t>
      </w:r>
      <w:proofErr w:type="spellStart"/>
      <w:r w:rsidR="00323C69" w:rsidRPr="00323C69">
        <w:rPr>
          <w:rFonts w:cs="Times New Roman"/>
          <w:color w:val="000000" w:themeColor="text1"/>
        </w:rPr>
        <w:t>incels</w:t>
      </w:r>
      <w:proofErr w:type="spellEnd"/>
      <w:r w:rsidR="00323C69" w:rsidRPr="00323C69">
        <w:rPr>
          <w:rFonts w:cs="Times New Roman"/>
          <w:color w:val="000000" w:themeColor="text1"/>
        </w:rPr>
        <w:t xml:space="preserve"> (involuntary celibates, men who claim aggrieved entitlement and sexual disenfranchisement) (Ging 2017; </w:t>
      </w:r>
      <w:proofErr w:type="spellStart"/>
      <w:r w:rsidR="00323C69" w:rsidRPr="00323C69">
        <w:rPr>
          <w:rFonts w:cs="Times New Roman"/>
          <w:color w:val="000000" w:themeColor="text1"/>
        </w:rPr>
        <w:t>Menzie</w:t>
      </w:r>
      <w:proofErr w:type="spellEnd"/>
      <w:r w:rsidR="00323C69" w:rsidRPr="00323C69">
        <w:rPr>
          <w:rFonts w:cs="Times New Roman"/>
          <w:color w:val="000000" w:themeColor="text1"/>
        </w:rPr>
        <w:t xml:space="preserve"> 2020). </w:t>
      </w:r>
    </w:p>
    <w:p w14:paraId="0CBBA86E" w14:textId="77777777" w:rsidR="00CD5E7D" w:rsidRDefault="00CD5E7D" w:rsidP="00323C69">
      <w:pPr>
        <w:contextualSpacing/>
        <w:rPr>
          <w:rFonts w:cs="Times New Roman"/>
          <w:color w:val="000000" w:themeColor="text1"/>
        </w:rPr>
      </w:pPr>
    </w:p>
    <w:p w14:paraId="628F4F65" w14:textId="31399873" w:rsidR="00CD5E7D" w:rsidRDefault="00323C69" w:rsidP="00323C69">
      <w:pPr>
        <w:contextualSpacing/>
        <w:rPr>
          <w:rFonts w:cs="Times New Roman"/>
          <w:color w:val="000000" w:themeColor="text1"/>
        </w:rPr>
      </w:pPr>
      <w:r w:rsidRPr="00323C69">
        <w:rPr>
          <w:rFonts w:cs="Times New Roman"/>
          <w:color w:val="000000" w:themeColor="text1"/>
        </w:rPr>
        <w:t xml:space="preserve">Marwick and Caplan (2018) </w:t>
      </w:r>
      <w:r w:rsidR="00D83867">
        <w:rPr>
          <w:rFonts w:cs="Times New Roman"/>
          <w:color w:val="000000" w:themeColor="text1"/>
        </w:rPr>
        <w:t>describe</w:t>
      </w:r>
      <w:r w:rsidRPr="00323C69">
        <w:rPr>
          <w:rFonts w:cs="Times New Roman"/>
          <w:color w:val="000000" w:themeColor="text1"/>
        </w:rPr>
        <w:t xml:space="preserve"> the manosphere </w:t>
      </w:r>
      <w:r w:rsidR="00D83867">
        <w:rPr>
          <w:rFonts w:cs="Times New Roman"/>
          <w:color w:val="000000" w:themeColor="text1"/>
        </w:rPr>
        <w:t>a</w:t>
      </w:r>
      <w:r w:rsidRPr="00323C69">
        <w:rPr>
          <w:rFonts w:cs="Times New Roman"/>
          <w:color w:val="000000" w:themeColor="text1"/>
        </w:rPr>
        <w:t xml:space="preserve">s a loosely organised online network consisting of a set of blogs, podcasts and forums that connect men’s </w:t>
      </w:r>
      <w:r w:rsidRPr="00323C69">
        <w:rPr>
          <w:rFonts w:cs="Times New Roman"/>
          <w:color w:val="000000" w:themeColor="text1"/>
        </w:rPr>
        <w:lastRenderedPageBreak/>
        <w:t>rights activists, pickup artists, anti-</w:t>
      </w:r>
      <w:proofErr w:type="gramStart"/>
      <w:r w:rsidRPr="00323C69">
        <w:rPr>
          <w:rFonts w:cs="Times New Roman"/>
          <w:color w:val="000000" w:themeColor="text1"/>
        </w:rPr>
        <w:t>feminist</w:t>
      </w:r>
      <w:proofErr w:type="gramEnd"/>
      <w:r w:rsidRPr="00323C69">
        <w:rPr>
          <w:rFonts w:cs="Times New Roman"/>
          <w:color w:val="000000" w:themeColor="text1"/>
        </w:rPr>
        <w:t xml:space="preserve"> and fringe groups that coalesce around claims of ‘misandry’ (hatred of men). </w:t>
      </w:r>
      <w:proofErr w:type="gramStart"/>
      <w:r w:rsidRPr="00323C69">
        <w:rPr>
          <w:rFonts w:cs="Times New Roman"/>
          <w:color w:val="000000" w:themeColor="text1"/>
        </w:rPr>
        <w:t>A number of</w:t>
      </w:r>
      <w:proofErr w:type="gramEnd"/>
      <w:r w:rsidRPr="00323C69">
        <w:rPr>
          <w:rFonts w:cs="Times New Roman"/>
          <w:color w:val="000000" w:themeColor="text1"/>
        </w:rPr>
        <w:t xml:space="preserve"> mass murders and terrorist attacks, such as the 2019 Christchurch terror attack, refer to explicit gender ideology and </w:t>
      </w:r>
      <w:proofErr w:type="spellStart"/>
      <w:r w:rsidRPr="00323C69">
        <w:rPr>
          <w:rFonts w:cs="Times New Roman"/>
          <w:color w:val="000000" w:themeColor="text1"/>
        </w:rPr>
        <w:t>incel</w:t>
      </w:r>
      <w:proofErr w:type="spellEnd"/>
      <w:r w:rsidRPr="00323C69">
        <w:rPr>
          <w:rFonts w:cs="Times New Roman"/>
          <w:color w:val="000000" w:themeColor="text1"/>
        </w:rPr>
        <w:t xml:space="preserve"> manifestos (True, </w:t>
      </w:r>
      <w:proofErr w:type="spellStart"/>
      <w:r w:rsidRPr="00323C69">
        <w:rPr>
          <w:rFonts w:cs="Times New Roman"/>
          <w:color w:val="000000" w:themeColor="text1"/>
        </w:rPr>
        <w:t>Chilmeran</w:t>
      </w:r>
      <w:proofErr w:type="spellEnd"/>
      <w:r w:rsidRPr="00323C69">
        <w:rPr>
          <w:rFonts w:cs="Times New Roman"/>
          <w:color w:val="000000" w:themeColor="text1"/>
        </w:rPr>
        <w:t xml:space="preserve"> and Johnston, 2019). </w:t>
      </w:r>
    </w:p>
    <w:p w14:paraId="3E46722A" w14:textId="77777777" w:rsidR="00CD5E7D" w:rsidRDefault="00CD5E7D" w:rsidP="00323C69">
      <w:pPr>
        <w:contextualSpacing/>
        <w:rPr>
          <w:rFonts w:cs="Times New Roman"/>
          <w:color w:val="000000" w:themeColor="text1"/>
        </w:rPr>
      </w:pPr>
    </w:p>
    <w:p w14:paraId="0FF145C4" w14:textId="7FBD36C6" w:rsidR="00323C69" w:rsidRPr="00323C69" w:rsidRDefault="00D83867" w:rsidP="00323C69">
      <w:pPr>
        <w:contextualSpacing/>
        <w:rPr>
          <w:rFonts w:cs="Times New Roman"/>
          <w:color w:val="000000" w:themeColor="text1"/>
        </w:rPr>
      </w:pPr>
      <w:r w:rsidRPr="00323C69">
        <w:rPr>
          <w:rFonts w:cs="Times New Roman"/>
          <w:color w:val="000000" w:themeColor="text1"/>
        </w:rPr>
        <w:t xml:space="preserve">Phelan, Johnston, and True </w:t>
      </w:r>
      <w:r>
        <w:rPr>
          <w:rFonts w:cs="Times New Roman"/>
          <w:color w:val="000000" w:themeColor="text1"/>
        </w:rPr>
        <w:t>express the view that t</w:t>
      </w:r>
      <w:r w:rsidR="00323C69" w:rsidRPr="00323C69">
        <w:rPr>
          <w:rFonts w:cs="Times New Roman"/>
          <w:color w:val="000000" w:themeColor="text1"/>
        </w:rPr>
        <w:t xml:space="preserve">he perpetrator of the Christchurch attacks, drew inspiration from a global network of like-minded people, explicitly displayed misogynistic, racist, </w:t>
      </w:r>
      <w:proofErr w:type="gramStart"/>
      <w:r w:rsidR="00323C69" w:rsidRPr="00323C69">
        <w:rPr>
          <w:rFonts w:cs="Times New Roman"/>
          <w:color w:val="000000" w:themeColor="text1"/>
        </w:rPr>
        <w:t>bigoted</w:t>
      </w:r>
      <w:proofErr w:type="gramEnd"/>
      <w:r w:rsidR="00323C69" w:rsidRPr="00323C69">
        <w:rPr>
          <w:rFonts w:cs="Times New Roman"/>
          <w:color w:val="000000" w:themeColor="text1"/>
        </w:rPr>
        <w:t xml:space="preserve"> and homophobic grievances and condemned “the decline of fertility rates and destruction of the family unit” (Phelan, Johnston, and True 2020). Such misogynistic attitudes often intersect with xenophobic, </w:t>
      </w:r>
      <w:proofErr w:type="gramStart"/>
      <w:r w:rsidR="00323C69" w:rsidRPr="00323C69">
        <w:rPr>
          <w:rFonts w:cs="Times New Roman"/>
          <w:color w:val="000000" w:themeColor="text1"/>
        </w:rPr>
        <w:t>racist</w:t>
      </w:r>
      <w:proofErr w:type="gramEnd"/>
      <w:r w:rsidR="00323C69" w:rsidRPr="00323C69">
        <w:rPr>
          <w:rFonts w:cs="Times New Roman"/>
          <w:color w:val="000000" w:themeColor="text1"/>
        </w:rPr>
        <w:t xml:space="preserve"> and homophobic attitudes and beliefs. These types of individuals, groups and movements pose serious threats to the safety of those advocating for the prevention of gendered violence. </w:t>
      </w:r>
    </w:p>
    <w:p w14:paraId="360E3C68" w14:textId="77777777" w:rsidR="00323C69" w:rsidRPr="00323C69" w:rsidRDefault="00323C69" w:rsidP="00323C69">
      <w:pPr>
        <w:contextualSpacing/>
        <w:rPr>
          <w:rFonts w:cs="Times New Roman"/>
          <w:color w:val="000000" w:themeColor="text1"/>
        </w:rPr>
      </w:pPr>
    </w:p>
    <w:p w14:paraId="5B303134" w14:textId="18EB46D6" w:rsidR="00323C69" w:rsidRPr="00323C69" w:rsidRDefault="00323C69" w:rsidP="00323C69">
      <w:pPr>
        <w:contextualSpacing/>
        <w:rPr>
          <w:rFonts w:cs="Times New Roman"/>
          <w:color w:val="000000" w:themeColor="text1"/>
        </w:rPr>
      </w:pPr>
      <w:r w:rsidRPr="00323C69">
        <w:rPr>
          <w:rFonts w:cs="Times New Roman"/>
          <w:color w:val="000000" w:themeColor="text1"/>
        </w:rPr>
        <w:t xml:space="preserve">Increasingly, online and virtual spaces have become a </w:t>
      </w:r>
      <w:r w:rsidR="00D83867">
        <w:rPr>
          <w:rFonts w:cs="Times New Roman"/>
          <w:color w:val="000000" w:themeColor="text1"/>
        </w:rPr>
        <w:t>forum</w:t>
      </w:r>
      <w:r w:rsidR="00D83867" w:rsidRPr="00323C69">
        <w:rPr>
          <w:rFonts w:cs="Times New Roman"/>
          <w:color w:val="000000" w:themeColor="text1"/>
        </w:rPr>
        <w:t xml:space="preserve"> </w:t>
      </w:r>
      <w:r w:rsidRPr="00323C69">
        <w:rPr>
          <w:rFonts w:cs="Times New Roman"/>
          <w:color w:val="000000" w:themeColor="text1"/>
        </w:rPr>
        <w:t xml:space="preserve">for backlash, including instances of “cyberstalking; rape blackmail videos; malicious impersonation; “sextortion” (the blackmailing of targets in order to extort them to perform sexual acts online); revenge porn (the non-consensual uploading of sexually explicit material of a subject without their consent); and “doxing” (the publishing of personally identifying information, usually to incite internet antagonists to hunt targets in “real” life)” (Jane 2017, pp. 34-35). Such backlash targets individuals, programs and policies, specific organisations, and broader societal norms and structures. This type of backlash and online misogyny is also disseminated in mainstream media, social media and online forums towards individuals, women as a group, persons of colour and the LGBTIQ community and men who acknowledge violence against </w:t>
      </w:r>
      <w:r w:rsidRPr="00323C69">
        <w:rPr>
          <w:rFonts w:cs="Times New Roman"/>
          <w:color w:val="000000" w:themeColor="text1"/>
        </w:rPr>
        <w:t xml:space="preserve">women as a pressing issue (Gardiner, 2018; Jane 2018; Petty et al., 2018). </w:t>
      </w:r>
    </w:p>
    <w:p w14:paraId="62DC8668" w14:textId="77777777" w:rsidR="00323C69" w:rsidRPr="00323C69" w:rsidRDefault="00323C69" w:rsidP="00323C69">
      <w:pPr>
        <w:contextualSpacing/>
        <w:rPr>
          <w:rFonts w:cs="Times New Roman"/>
          <w:color w:val="000000" w:themeColor="text1"/>
        </w:rPr>
      </w:pPr>
    </w:p>
    <w:p w14:paraId="09FE0B68" w14:textId="21938841" w:rsidR="00CD5E7D" w:rsidRDefault="00D83867" w:rsidP="00323C69">
      <w:pPr>
        <w:contextualSpacing/>
        <w:rPr>
          <w:rFonts w:cs="Times New Roman"/>
          <w:color w:val="000000" w:themeColor="text1"/>
        </w:rPr>
      </w:pPr>
      <w:r>
        <w:rPr>
          <w:rFonts w:cs="Times New Roman"/>
          <w:color w:val="000000" w:themeColor="text1"/>
        </w:rPr>
        <w:t>For example, i</w:t>
      </w:r>
      <w:r w:rsidR="00323C69" w:rsidRPr="00323C69">
        <w:rPr>
          <w:rFonts w:cs="Times New Roman"/>
          <w:color w:val="000000" w:themeColor="text1"/>
        </w:rPr>
        <w:t xml:space="preserve">n an analysis of The Guardian’s 70 million online comments, Gardiner (2018) found that women (and Black, Asian and minority ethnic) journalists attracted a higher percentage of reader comments that were blocked by moderators due to violating community standards compared to articles written by men, regardless of the subject matter. This was intensified in male dominated sections of news such as sport, which speaks volumes of where women are ‘allowed’ to work and have voice. The negative and violent backlash against women through online abuse and harassment </w:t>
      </w:r>
      <w:r>
        <w:rPr>
          <w:rFonts w:cs="Times New Roman"/>
          <w:color w:val="000000" w:themeColor="text1"/>
        </w:rPr>
        <w:t>for</w:t>
      </w:r>
      <w:r w:rsidR="00323C69" w:rsidRPr="00323C69">
        <w:rPr>
          <w:rFonts w:cs="Times New Roman"/>
          <w:color w:val="000000" w:themeColor="text1"/>
        </w:rPr>
        <w:t xml:space="preserve"> doing their job has profound negative implications on their professional and public lives as well as their private lives. </w:t>
      </w:r>
    </w:p>
    <w:p w14:paraId="44444C94" w14:textId="77777777" w:rsidR="00CD5E7D" w:rsidRDefault="00CD5E7D" w:rsidP="00323C69">
      <w:pPr>
        <w:contextualSpacing/>
        <w:rPr>
          <w:rFonts w:cs="Times New Roman"/>
          <w:color w:val="000000" w:themeColor="text1"/>
        </w:rPr>
      </w:pPr>
    </w:p>
    <w:p w14:paraId="233EAFD4" w14:textId="72085225" w:rsidR="00323C69" w:rsidRDefault="00323C69" w:rsidP="00323C69">
      <w:pPr>
        <w:contextualSpacing/>
        <w:rPr>
          <w:rFonts w:cs="Times New Roman"/>
          <w:color w:val="000000" w:themeColor="text1"/>
        </w:rPr>
      </w:pPr>
      <w:r w:rsidRPr="00323C69">
        <w:rPr>
          <w:rFonts w:cs="Times New Roman"/>
          <w:color w:val="000000" w:themeColor="text1"/>
        </w:rPr>
        <w:t xml:space="preserve">Some female journalists have had to withdraw from social media platforms due to attacks directed towards their families (Jane 2018). For example, Guardian journalist Jessica </w:t>
      </w:r>
      <w:proofErr w:type="spellStart"/>
      <w:r w:rsidRPr="00323C69">
        <w:rPr>
          <w:rFonts w:cs="Times New Roman"/>
          <w:color w:val="000000" w:themeColor="text1"/>
        </w:rPr>
        <w:t>Valenti</w:t>
      </w:r>
      <w:proofErr w:type="spellEnd"/>
      <w:r w:rsidRPr="00323C69">
        <w:rPr>
          <w:rFonts w:cs="Times New Roman"/>
          <w:color w:val="000000" w:themeColor="text1"/>
        </w:rPr>
        <w:t xml:space="preserve"> was one of 10 writers who received the most blocked comments and eventually withdrew from social media when a rape and death threat was directed at her 5-year-old daughter (Jane 2018, p. 577).</w:t>
      </w:r>
    </w:p>
    <w:p w14:paraId="59F6BDFF" w14:textId="77777777" w:rsidR="00323C69" w:rsidRPr="00437FB5" w:rsidRDefault="00323C69" w:rsidP="00323C69">
      <w:pPr>
        <w:pStyle w:val="NormalWeb"/>
        <w:spacing w:before="0" w:beforeAutospacing="0" w:after="0" w:afterAutospacing="0"/>
        <w:contextualSpacing/>
        <w:rPr>
          <w:rFonts w:ascii="Corbel" w:hAnsi="Corbel" w:cs="Calibri"/>
          <w:color w:val="000000" w:themeColor="text1"/>
        </w:rPr>
      </w:pPr>
    </w:p>
    <w:p w14:paraId="69E3C7EF" w14:textId="77777777" w:rsidR="00323C69" w:rsidRPr="00B82E9D" w:rsidRDefault="00323C69" w:rsidP="00323C69">
      <w:pPr>
        <w:pStyle w:val="IntenseQuote"/>
        <w:rPr>
          <w:sz w:val="24"/>
          <w:lang w:eastAsia="en-GB"/>
        </w:rPr>
      </w:pPr>
      <w:r w:rsidRPr="00437FB5">
        <w:rPr>
          <w:sz w:val="24"/>
          <w:lang w:eastAsia="en-GB"/>
        </w:rPr>
        <w:t xml:space="preserve">Networked misogyny and gaslighting intersect with racism, religious bigotry, </w:t>
      </w:r>
      <w:proofErr w:type="gramStart"/>
      <w:r w:rsidRPr="00437FB5">
        <w:rPr>
          <w:sz w:val="24"/>
          <w:lang w:eastAsia="en-GB"/>
        </w:rPr>
        <w:t>homophobia</w:t>
      </w:r>
      <w:proofErr w:type="gramEnd"/>
      <w:r w:rsidRPr="00437FB5">
        <w:rPr>
          <w:sz w:val="24"/>
          <w:lang w:eastAsia="en-GB"/>
        </w:rPr>
        <w:t xml:space="preserve"> and other forms of discrimination to threaten women journalists </w:t>
      </w:r>
      <w:r>
        <w:rPr>
          <w:sz w:val="24"/>
          <w:lang w:eastAsia="en-GB"/>
        </w:rPr>
        <w:t>–</w:t>
      </w:r>
      <w:r w:rsidRPr="00437FB5">
        <w:rPr>
          <w:sz w:val="24"/>
          <w:lang w:eastAsia="en-GB"/>
        </w:rPr>
        <w:t xml:space="preserve"> severely and disproportionately. Threats of sexual violence and murder are frequent and sometimes extended to their families. This phenomenon is also bound up with the rise of viral disinformation, digital conspiracy networks and political polarisation. The psychological, physical, professional, and digital safety and security impacts </w:t>
      </w:r>
      <w:r w:rsidRPr="00437FB5">
        <w:rPr>
          <w:sz w:val="24"/>
          <w:lang w:eastAsia="en-GB"/>
        </w:rPr>
        <w:lastRenderedPageBreak/>
        <w:t>associated with this escalating freedom of expression and gender equality crisis are overlapping, converging and frequently inseparable. They are also increasingly spilling offline, sometimes with devastating consequences (UNESCO 2021, p. 5)</w:t>
      </w:r>
    </w:p>
    <w:p w14:paraId="627A1608" w14:textId="77777777" w:rsidR="00323C69" w:rsidRPr="00437FB5" w:rsidRDefault="00323C69" w:rsidP="00323C69">
      <w:pPr>
        <w:pStyle w:val="NormalWeb"/>
        <w:spacing w:before="0" w:beforeAutospacing="0" w:after="0" w:afterAutospacing="0"/>
        <w:contextualSpacing/>
        <w:rPr>
          <w:rFonts w:ascii="Corbel" w:hAnsi="Corbel" w:cs="Calibri"/>
          <w:color w:val="000000" w:themeColor="text1"/>
        </w:rPr>
      </w:pPr>
    </w:p>
    <w:p w14:paraId="00AC1491" w14:textId="3F17AB70" w:rsidR="00323C69" w:rsidRDefault="00323C69" w:rsidP="00323C69">
      <w:pPr>
        <w:contextualSpacing/>
        <w:rPr>
          <w:rFonts w:cs="Times New Roman"/>
          <w:color w:val="000000" w:themeColor="text1"/>
        </w:rPr>
      </w:pPr>
      <w:r w:rsidRPr="00323C69">
        <w:rPr>
          <w:rFonts w:cs="Times New Roman"/>
          <w:color w:val="000000" w:themeColor="text1"/>
        </w:rPr>
        <w:t xml:space="preserve">Such backlash also occurs in more ‘ordinary’ spaces, including in organisations and institutions. For example, anti-feminist backlash has been especially prominent in response to the #MeToo movement, which has exposed the endemic sexual harassment women experience in workplaces (Flood 2019). In line with beliefs that women fabricate sexual harassment and </w:t>
      </w:r>
      <w:proofErr w:type="gramStart"/>
      <w:r w:rsidRPr="00323C69">
        <w:rPr>
          <w:rFonts w:cs="Times New Roman"/>
          <w:color w:val="000000" w:themeColor="text1"/>
        </w:rPr>
        <w:t>that men</w:t>
      </w:r>
      <w:proofErr w:type="gramEnd"/>
      <w:r w:rsidRPr="00323C69">
        <w:rPr>
          <w:rFonts w:cs="Times New Roman"/>
          <w:color w:val="000000" w:themeColor="text1"/>
        </w:rPr>
        <w:t xml:space="preserve"> are vulnerable and at risk of such accusations, there has been an observed institutional backlash towards engaging professionally with women, including mentoring women, meeting female colleagues alone, not meeting with women men do not know well or who are subordinate to them (Williamson 2020, p. 8; </w:t>
      </w:r>
      <w:proofErr w:type="spellStart"/>
      <w:r w:rsidRPr="00323C69">
        <w:rPr>
          <w:rFonts w:cs="Times New Roman"/>
          <w:color w:val="000000" w:themeColor="text1"/>
        </w:rPr>
        <w:t>Soklaridis</w:t>
      </w:r>
      <w:proofErr w:type="spellEnd"/>
      <w:r w:rsidRPr="00323C69">
        <w:rPr>
          <w:rFonts w:cs="Times New Roman"/>
          <w:color w:val="000000" w:themeColor="text1"/>
        </w:rPr>
        <w:t xml:space="preserve"> et al., 2018). </w:t>
      </w:r>
    </w:p>
    <w:p w14:paraId="0A18B518" w14:textId="70E7FF2E" w:rsidR="00323C69" w:rsidRDefault="00323C69" w:rsidP="00323C69">
      <w:pPr>
        <w:contextualSpacing/>
        <w:rPr>
          <w:rFonts w:cs="Times New Roman"/>
          <w:color w:val="000000" w:themeColor="text1"/>
        </w:rPr>
      </w:pPr>
    </w:p>
    <w:p w14:paraId="247ED788" w14:textId="59840AE5" w:rsidR="00323C69" w:rsidRPr="00323C69" w:rsidRDefault="00323C69" w:rsidP="00323C69">
      <w:pPr>
        <w:contextualSpacing/>
        <w:rPr>
          <w:rFonts w:cs="Times New Roman"/>
          <w:color w:val="000000" w:themeColor="text1"/>
        </w:rPr>
      </w:pPr>
      <w:r w:rsidRPr="00323C69">
        <w:rPr>
          <w:rFonts w:cs="Times New Roman"/>
          <w:color w:val="000000" w:themeColor="text1"/>
        </w:rPr>
        <w:t xml:space="preserve">Women participating in male dominated arenas can face extreme forms of backlash, </w:t>
      </w:r>
      <w:proofErr w:type="gramStart"/>
      <w:r w:rsidRPr="00323C69">
        <w:rPr>
          <w:rFonts w:cs="Times New Roman"/>
          <w:color w:val="000000" w:themeColor="text1"/>
        </w:rPr>
        <w:t>hostility</w:t>
      </w:r>
      <w:proofErr w:type="gramEnd"/>
      <w:r w:rsidRPr="00323C69">
        <w:rPr>
          <w:rFonts w:cs="Times New Roman"/>
          <w:color w:val="000000" w:themeColor="text1"/>
        </w:rPr>
        <w:t xml:space="preserve"> and harassment simply because of their presence. This form of gender and sexual harassment “can be understood as expressions of hostility toward individuals on account of their sex or gender” (Foley et al., 2020, p. 3). Gender harassment is non-sexualised behaviours based on an individual’s sex or gender (Foley et al., 2020, p. 4). This includes crude remarks or jokes, demeaning </w:t>
      </w:r>
      <w:proofErr w:type="gramStart"/>
      <w:r w:rsidRPr="00323C69">
        <w:rPr>
          <w:rFonts w:cs="Times New Roman"/>
          <w:color w:val="000000" w:themeColor="text1"/>
        </w:rPr>
        <w:t>comments</w:t>
      </w:r>
      <w:proofErr w:type="gramEnd"/>
      <w:r w:rsidRPr="00323C69">
        <w:rPr>
          <w:rFonts w:cs="Times New Roman"/>
          <w:color w:val="000000" w:themeColor="text1"/>
        </w:rPr>
        <w:t xml:space="preserve"> or banter, questioning an individual’s competence based on their gender, hostile comments that signify a particular gender does not belong, intimidation, sabotage, scrutiny of work or workplace behaviours, and refusing to comply with the directives of a senior </w:t>
      </w:r>
      <w:r w:rsidRPr="00323C69">
        <w:rPr>
          <w:rFonts w:cs="Times New Roman"/>
          <w:color w:val="000000" w:themeColor="text1"/>
        </w:rPr>
        <w:t xml:space="preserve">colleague of a different gender (Foley et al., 2020, pp. 3-4).  </w:t>
      </w:r>
    </w:p>
    <w:p w14:paraId="0F358106" w14:textId="77777777" w:rsidR="00323C69" w:rsidRPr="00323C69" w:rsidRDefault="00323C69" w:rsidP="00323C69">
      <w:pPr>
        <w:contextualSpacing/>
        <w:rPr>
          <w:rFonts w:cs="Times New Roman"/>
          <w:color w:val="000000" w:themeColor="text1"/>
        </w:rPr>
      </w:pPr>
    </w:p>
    <w:p w14:paraId="39A2E65B" w14:textId="77777777" w:rsidR="00323C69" w:rsidRPr="00914BB8" w:rsidRDefault="00323C69" w:rsidP="00323C69">
      <w:pPr>
        <w:pStyle w:val="IntenseQuote"/>
        <w:ind w:left="0"/>
        <w:jc w:val="left"/>
        <w:rPr>
          <w:sz w:val="24"/>
        </w:rPr>
      </w:pPr>
      <w:r w:rsidRPr="00914BB8">
        <w:rPr>
          <w:sz w:val="24"/>
        </w:rPr>
        <w:t xml:space="preserve">In a consultation with men working in male-dominated industries, the [Australian Human Rights] Commission was told that sexual harassment can occur as a form of backlash against quotas to increase the representation of women in male- </w:t>
      </w:r>
      <w:r w:rsidRPr="00914BB8">
        <w:rPr>
          <w:rFonts w:eastAsia="Times New Roman" w:cs="Times New Roman"/>
          <w:sz w:val="24"/>
          <w:lang w:eastAsia="en-GB"/>
        </w:rPr>
        <w:t>dominated workplaces (Australian Human Rights Commission 2020, p. 150)</w:t>
      </w:r>
    </w:p>
    <w:p w14:paraId="6DABAF2F" w14:textId="1DFFBD20" w:rsidR="00CD5E7D" w:rsidRDefault="00323C69" w:rsidP="00323C69">
      <w:pPr>
        <w:contextualSpacing/>
        <w:rPr>
          <w:rFonts w:cs="Times New Roman"/>
          <w:color w:val="000000" w:themeColor="text1"/>
        </w:rPr>
      </w:pPr>
      <w:r w:rsidRPr="00323C69">
        <w:rPr>
          <w:rFonts w:cs="Times New Roman"/>
          <w:color w:val="000000" w:themeColor="text1"/>
        </w:rPr>
        <w:t>In research with women working as pilots and automotive tradespeople in Australia, where women only comprise 6% and 2.5% of employees respectively, Foley et al., (2020) found women’s experience of gender harassing behaviours was constant, sometimes daily</w:t>
      </w:r>
      <w:r w:rsidR="009E41D4">
        <w:rPr>
          <w:rFonts w:cs="Times New Roman"/>
          <w:color w:val="000000" w:themeColor="text1"/>
        </w:rPr>
        <w:t>,</w:t>
      </w:r>
      <w:r w:rsidRPr="00323C69">
        <w:rPr>
          <w:rFonts w:cs="Times New Roman"/>
          <w:color w:val="000000" w:themeColor="text1"/>
        </w:rPr>
        <w:t xml:space="preserve"> and in some cases</w:t>
      </w:r>
      <w:r w:rsidR="009E41D4">
        <w:rPr>
          <w:rFonts w:cs="Times New Roman"/>
          <w:color w:val="000000" w:themeColor="text1"/>
        </w:rPr>
        <w:t>,</w:t>
      </w:r>
      <w:r w:rsidRPr="00323C69">
        <w:rPr>
          <w:rFonts w:cs="Times New Roman"/>
          <w:color w:val="000000" w:themeColor="text1"/>
        </w:rPr>
        <w:t xml:space="preserve"> </w:t>
      </w:r>
      <w:r w:rsidR="00564512">
        <w:rPr>
          <w:rFonts w:cs="Times New Roman"/>
          <w:color w:val="000000" w:themeColor="text1"/>
        </w:rPr>
        <w:t xml:space="preserve">on an </w:t>
      </w:r>
      <w:r w:rsidRPr="00323C69">
        <w:rPr>
          <w:rFonts w:cs="Times New Roman"/>
          <w:color w:val="000000" w:themeColor="text1"/>
        </w:rPr>
        <w:t xml:space="preserve">hourly basis. The most frequent forms of gender harassment experienced by female pilots and automotive tradespeople were sexist remarks and banter from male colleagues who would make “jibes about ‘feminism’ and a woman’s place being ‘in the home’”. One female manager in the automotive industry detailed a sustained campaign of demeaning comments made by male trainees, junior to her rank, with comments such as “Clean up after me, you’re the woman”, “You know what’s funny? Women’s rights” and “He’s single. Why don’t you get married and have kids like you’re supposed to” (Foley et al., 2020, p. </w:t>
      </w:r>
      <w:proofErr w:type="gramStart"/>
      <w:r w:rsidRPr="00323C69">
        <w:rPr>
          <w:rFonts w:cs="Times New Roman"/>
          <w:color w:val="000000" w:themeColor="text1"/>
        </w:rPr>
        <w:t>8).</w:t>
      </w:r>
      <w:proofErr w:type="gramEnd"/>
      <w:r w:rsidRPr="00323C69">
        <w:rPr>
          <w:rFonts w:cs="Times New Roman"/>
          <w:color w:val="000000" w:themeColor="text1"/>
        </w:rPr>
        <w:t xml:space="preserve"> </w:t>
      </w:r>
    </w:p>
    <w:p w14:paraId="58A1D44C" w14:textId="77777777" w:rsidR="00CD5E7D" w:rsidRDefault="00CD5E7D" w:rsidP="00323C69">
      <w:pPr>
        <w:contextualSpacing/>
        <w:rPr>
          <w:rFonts w:cs="Times New Roman"/>
          <w:color w:val="000000" w:themeColor="text1"/>
        </w:rPr>
      </w:pPr>
    </w:p>
    <w:p w14:paraId="4973A01A" w14:textId="1F7B41A1" w:rsidR="00CD5E7D" w:rsidRDefault="009E41D4" w:rsidP="00323C69">
      <w:pPr>
        <w:contextualSpacing/>
        <w:rPr>
          <w:rFonts w:cs="Times New Roman"/>
          <w:color w:val="000000" w:themeColor="text1"/>
        </w:rPr>
      </w:pPr>
      <w:r>
        <w:rPr>
          <w:rFonts w:cs="Times New Roman"/>
          <w:color w:val="000000" w:themeColor="text1"/>
        </w:rPr>
        <w:t xml:space="preserve">The research indicates </w:t>
      </w:r>
      <w:r w:rsidR="00D83867">
        <w:rPr>
          <w:rFonts w:cs="Times New Roman"/>
          <w:color w:val="000000" w:themeColor="text1"/>
        </w:rPr>
        <w:t>often</w:t>
      </w:r>
      <w:r w:rsidR="00323C69" w:rsidRPr="00323C69">
        <w:rPr>
          <w:rFonts w:cs="Times New Roman"/>
          <w:color w:val="000000" w:themeColor="text1"/>
        </w:rPr>
        <w:t xml:space="preserve"> women would not receive support or help from their supervisors who were often bystanders and/or participants in such behaviour, where a “boys club” culture and male peer relations was prioritised over women’s inclusion and safety at work (Foley et al., 2020, pp. 8-9). As the authors note, “several participants understood gender harassment to be a form of resistance by </w:t>
      </w:r>
      <w:r w:rsidR="00323C69" w:rsidRPr="00323C69">
        <w:rPr>
          <w:rFonts w:cs="Times New Roman"/>
          <w:color w:val="000000" w:themeColor="text1"/>
        </w:rPr>
        <w:lastRenderedPageBreak/>
        <w:t xml:space="preserve">male colleagues who felt threatened by women’s encroachment into a previously all-male domain” (Foley et al., 2020, p. 9). Furthermore, these forms of gender harassment came from both senior and junior male colleagues as well as clients. </w:t>
      </w:r>
    </w:p>
    <w:p w14:paraId="57B46B11" w14:textId="77777777" w:rsidR="00CD5E7D" w:rsidRDefault="00CD5E7D" w:rsidP="00323C69">
      <w:pPr>
        <w:contextualSpacing/>
        <w:rPr>
          <w:rFonts w:cs="Times New Roman"/>
          <w:color w:val="000000" w:themeColor="text1"/>
        </w:rPr>
      </w:pPr>
    </w:p>
    <w:p w14:paraId="15CE387E" w14:textId="73D1EE6B" w:rsidR="00323C69" w:rsidRPr="00323C69" w:rsidRDefault="00323C69" w:rsidP="00323C69">
      <w:pPr>
        <w:contextualSpacing/>
        <w:rPr>
          <w:rFonts w:cs="Times New Roman"/>
          <w:color w:val="000000" w:themeColor="text1"/>
        </w:rPr>
      </w:pPr>
      <w:r w:rsidRPr="00323C69">
        <w:rPr>
          <w:rFonts w:cs="Times New Roman"/>
          <w:color w:val="000000" w:themeColor="text1"/>
        </w:rPr>
        <w:t xml:space="preserve">Gender harassment in such male-dominated workplaces is institutionalised in formal and informal structures, </w:t>
      </w:r>
      <w:proofErr w:type="gramStart"/>
      <w:r w:rsidRPr="00323C69">
        <w:rPr>
          <w:rFonts w:cs="Times New Roman"/>
          <w:color w:val="000000" w:themeColor="text1"/>
        </w:rPr>
        <w:t>norms</w:t>
      </w:r>
      <w:proofErr w:type="gramEnd"/>
      <w:r w:rsidRPr="00323C69">
        <w:rPr>
          <w:rFonts w:cs="Times New Roman"/>
          <w:color w:val="000000" w:themeColor="text1"/>
        </w:rPr>
        <w:t xml:space="preserve"> and practices, signalling to women they are unwelcome interlopers, “better suited to roles of wife and mother than they are to paid employment in male technical domains” (Foley et al., 2020, p. 11). </w:t>
      </w:r>
    </w:p>
    <w:p w14:paraId="2359FE1C" w14:textId="77777777" w:rsidR="00323C69" w:rsidRPr="00323C69" w:rsidRDefault="00323C69" w:rsidP="00323C69">
      <w:pPr>
        <w:contextualSpacing/>
        <w:rPr>
          <w:rFonts w:cs="Times New Roman"/>
          <w:color w:val="000000" w:themeColor="text1"/>
        </w:rPr>
      </w:pPr>
    </w:p>
    <w:p w14:paraId="1B0A2DB8" w14:textId="77777777" w:rsidR="00CD5E7D" w:rsidRDefault="00323C69" w:rsidP="00323C69">
      <w:pPr>
        <w:contextualSpacing/>
        <w:rPr>
          <w:rFonts w:cs="Times New Roman"/>
          <w:color w:val="000000" w:themeColor="text1"/>
        </w:rPr>
        <w:sectPr w:rsidR="00CD5E7D" w:rsidSect="00AE52AD">
          <w:type w:val="continuous"/>
          <w:pgSz w:w="11900" w:h="16850"/>
          <w:pgMar w:top="1340" w:right="1060" w:bottom="1020" w:left="860" w:header="567" w:footer="824" w:gutter="0"/>
          <w:cols w:num="2" w:space="720"/>
          <w:docGrid w:linePitch="299"/>
        </w:sectPr>
      </w:pPr>
      <w:r w:rsidRPr="00323C69">
        <w:rPr>
          <w:rFonts w:cs="Times New Roman"/>
          <w:color w:val="000000" w:themeColor="text1"/>
        </w:rPr>
        <w:t xml:space="preserve">Backlash, like all the forms of resistance outlined here, is itself a continuum of reactions to the progress (or attempts) made by proponents of primary prevention of violence against women, </w:t>
      </w:r>
      <w:proofErr w:type="gramStart"/>
      <w:r w:rsidRPr="00323C69">
        <w:rPr>
          <w:rFonts w:cs="Times New Roman"/>
          <w:color w:val="000000" w:themeColor="text1"/>
        </w:rPr>
        <w:t>feminism</w:t>
      </w:r>
      <w:proofErr w:type="gramEnd"/>
      <w:r w:rsidRPr="00323C69">
        <w:rPr>
          <w:rFonts w:cs="Times New Roman"/>
          <w:color w:val="000000" w:themeColor="text1"/>
        </w:rPr>
        <w:t xml:space="preserve"> and gender equality goals. Backlash deliberately makes women feel unsafe or unwelcome in certain spaces to maintain male privilege and advantage, the ‘boys club’ and male entitlement in public and private life, in communities, organisations and institutions. It is predicated on essentialist understandings and patriarchal stereotypes of women and men, where women are seen as inferior and subordinate and deserving of the violence they experience. When women step outside the bounds of those stereotypes, harassment, </w:t>
      </w:r>
      <w:proofErr w:type="gramStart"/>
      <w:r w:rsidRPr="00323C69">
        <w:rPr>
          <w:rFonts w:cs="Times New Roman"/>
          <w:color w:val="000000" w:themeColor="text1"/>
        </w:rPr>
        <w:t>abuse</w:t>
      </w:r>
      <w:proofErr w:type="gramEnd"/>
      <w:r w:rsidRPr="00323C69">
        <w:rPr>
          <w:rFonts w:cs="Times New Roman"/>
          <w:color w:val="000000" w:themeColor="text1"/>
        </w:rPr>
        <w:t xml:space="preserve"> and violence may be seen as justified ‘to put women back in their place’. Racism, homophobia, transphobia, biphobia, </w:t>
      </w:r>
      <w:proofErr w:type="gramStart"/>
      <w:r w:rsidRPr="00323C69">
        <w:rPr>
          <w:rFonts w:cs="Times New Roman"/>
          <w:color w:val="000000" w:themeColor="text1"/>
        </w:rPr>
        <w:t>ableism</w:t>
      </w:r>
      <w:proofErr w:type="gramEnd"/>
      <w:r w:rsidRPr="00323C69">
        <w:rPr>
          <w:rFonts w:cs="Times New Roman"/>
          <w:color w:val="000000" w:themeColor="text1"/>
        </w:rPr>
        <w:t xml:space="preserve"> and other forms of discrimination can compound this violent backlash. </w:t>
      </w:r>
      <w:r w:rsidR="00CD5E7D">
        <w:rPr>
          <w:rFonts w:cs="Times New Roman"/>
          <w:color w:val="000000" w:themeColor="text1"/>
        </w:rPr>
        <w:br w:type="column"/>
      </w:r>
      <w:r w:rsidRPr="00323C69">
        <w:rPr>
          <w:rFonts w:cs="Times New Roman"/>
          <w:color w:val="000000" w:themeColor="text1"/>
        </w:rPr>
        <w:t>Although backlash can often be framed as an extreme version of resistance, it can also be mainstream and echo common widespread denials of gender inequality.</w:t>
      </w:r>
    </w:p>
    <w:p w14:paraId="4E7644D3" w14:textId="472BD48F" w:rsidR="00323C69" w:rsidRDefault="00323C69" w:rsidP="00323C69">
      <w:pPr>
        <w:contextualSpacing/>
        <w:rPr>
          <w:rFonts w:cs="Times New Roman"/>
          <w:color w:val="000000" w:themeColor="text1"/>
        </w:rPr>
      </w:pPr>
    </w:p>
    <w:tbl>
      <w:tblPr>
        <w:tblStyle w:val="GridTable1Light-Accent2"/>
        <w:tblW w:w="10065" w:type="dxa"/>
        <w:tblInd w:w="-15" w:type="dxa"/>
        <w:tblLook w:val="04A0" w:firstRow="1" w:lastRow="0" w:firstColumn="1" w:lastColumn="0" w:noHBand="0" w:noVBand="1"/>
      </w:tblPr>
      <w:tblGrid>
        <w:gridCol w:w="10065"/>
      </w:tblGrid>
      <w:tr w:rsidR="00CD5E7D" w:rsidRPr="00437FB5" w14:paraId="04CE6B85" w14:textId="77777777" w:rsidTr="00C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Borders>
              <w:top w:val="double" w:sz="4" w:space="0" w:color="C0504D" w:themeColor="accent2"/>
              <w:left w:val="double" w:sz="4" w:space="0" w:color="C0504D" w:themeColor="accent2"/>
              <w:bottom w:val="double" w:sz="4" w:space="0" w:color="C0504D" w:themeColor="accent2"/>
              <w:right w:val="double" w:sz="4" w:space="0" w:color="C0504D" w:themeColor="accent2"/>
            </w:tcBorders>
            <w:shd w:val="clear" w:color="auto" w:fill="F2DBDB" w:themeFill="accent2" w:themeFillTint="33"/>
          </w:tcPr>
          <w:p w14:paraId="76FF2B94" w14:textId="4FB3BAA3" w:rsidR="00CD5E7D" w:rsidRPr="007F50DB" w:rsidRDefault="00CD5E7D" w:rsidP="007F50DB">
            <w:pPr>
              <w:pStyle w:val="Caption"/>
              <w:widowControl w:val="0"/>
              <w:autoSpaceDE w:val="0"/>
              <w:autoSpaceDN w:val="0"/>
              <w:rPr>
                <w:bCs w:val="0"/>
                <w:color w:val="F79646" w:themeColor="accent6"/>
                <w:sz w:val="22"/>
                <w:szCs w:val="22"/>
              </w:rPr>
            </w:pPr>
            <w:bookmarkStart w:id="72" w:name="_Toc75940826"/>
            <w:r w:rsidRPr="007F50DB">
              <w:rPr>
                <w:color w:val="F79646" w:themeColor="accent6"/>
                <w:sz w:val="22"/>
                <w:szCs w:val="22"/>
              </w:rPr>
              <w:t xml:space="preserve">Highlight Box </w:t>
            </w:r>
            <w:r w:rsidRPr="007F50DB">
              <w:rPr>
                <w:color w:val="F79646" w:themeColor="accent6"/>
                <w:sz w:val="22"/>
                <w:szCs w:val="22"/>
              </w:rPr>
              <w:fldChar w:fldCharType="begin"/>
            </w:r>
            <w:r w:rsidRPr="007F50DB">
              <w:rPr>
                <w:color w:val="F79646" w:themeColor="accent6"/>
                <w:sz w:val="22"/>
                <w:szCs w:val="22"/>
              </w:rPr>
              <w:instrText xml:space="preserve"> SEQ Highlight_Box \* ARABIC </w:instrText>
            </w:r>
            <w:r w:rsidRPr="007F50DB">
              <w:rPr>
                <w:color w:val="F79646" w:themeColor="accent6"/>
                <w:sz w:val="22"/>
                <w:szCs w:val="22"/>
              </w:rPr>
              <w:fldChar w:fldCharType="separate"/>
            </w:r>
            <w:r w:rsidR="00D93EBF">
              <w:rPr>
                <w:noProof/>
                <w:color w:val="F79646" w:themeColor="accent6"/>
                <w:sz w:val="22"/>
                <w:szCs w:val="22"/>
              </w:rPr>
              <w:t>3</w:t>
            </w:r>
            <w:r w:rsidRPr="007F50DB">
              <w:rPr>
                <w:color w:val="F79646" w:themeColor="accent6"/>
                <w:sz w:val="22"/>
                <w:szCs w:val="22"/>
              </w:rPr>
              <w:fldChar w:fldCharType="end"/>
            </w:r>
            <w:r w:rsidRPr="007F50DB">
              <w:rPr>
                <w:color w:val="F79646" w:themeColor="accent6"/>
                <w:sz w:val="22"/>
                <w:szCs w:val="22"/>
              </w:rPr>
              <w:t>: What about men? Men are victims too!</w:t>
            </w:r>
            <w:bookmarkEnd w:id="72"/>
          </w:p>
          <w:p w14:paraId="3637B1B2" w14:textId="25BB78FD" w:rsidR="00CD5E7D" w:rsidRPr="00437FB5" w:rsidRDefault="00CD5E7D" w:rsidP="00015ABE">
            <w:pPr>
              <w:rPr>
                <w:color w:val="000000" w:themeColor="text1"/>
              </w:rPr>
            </w:pPr>
            <w:r w:rsidRPr="00437FB5">
              <w:rPr>
                <w:b w:val="0"/>
                <w:bCs w:val="0"/>
              </w:rPr>
              <w:t xml:space="preserve">‘What about men’ responses to </w:t>
            </w:r>
            <w:r w:rsidRPr="00437FB5">
              <w:rPr>
                <w:b w:val="0"/>
                <w:bCs w:val="0"/>
                <w:color w:val="000000" w:themeColor="text1"/>
              </w:rPr>
              <w:t xml:space="preserve">gendered approaches to the prevention of violence against women are a commonplace and ubiquitous form of resistance. ‘What about…’ questions can be </w:t>
            </w:r>
            <w:r w:rsidR="009E41D4">
              <w:rPr>
                <w:b w:val="0"/>
                <w:bCs w:val="0"/>
                <w:color w:val="000000" w:themeColor="text1"/>
              </w:rPr>
              <w:t>appropriately raised by men</w:t>
            </w:r>
            <w:r w:rsidR="009E41D4" w:rsidRPr="00437FB5">
              <w:rPr>
                <w:b w:val="0"/>
                <w:bCs w:val="0"/>
                <w:color w:val="000000" w:themeColor="text1"/>
              </w:rPr>
              <w:t xml:space="preserve"> </w:t>
            </w:r>
            <w:r w:rsidRPr="00437FB5">
              <w:rPr>
                <w:b w:val="0"/>
                <w:bCs w:val="0"/>
                <w:color w:val="000000" w:themeColor="text1"/>
              </w:rPr>
              <w:t xml:space="preserve">who disproportionately experience negative impacts due to marginalisation based on other forms of identity such as race, class, </w:t>
            </w:r>
            <w:proofErr w:type="gramStart"/>
            <w:r w:rsidRPr="00437FB5">
              <w:rPr>
                <w:b w:val="0"/>
                <w:bCs w:val="0"/>
                <w:color w:val="000000" w:themeColor="text1"/>
              </w:rPr>
              <w:t>disability</w:t>
            </w:r>
            <w:proofErr w:type="gramEnd"/>
            <w:r w:rsidRPr="00437FB5">
              <w:rPr>
                <w:b w:val="0"/>
                <w:bCs w:val="0"/>
                <w:color w:val="000000" w:themeColor="text1"/>
              </w:rPr>
              <w:t xml:space="preserve"> and sexuality </w:t>
            </w:r>
            <w:r w:rsidRPr="00437FB5">
              <w:rPr>
                <w:b w:val="0"/>
                <w:bCs w:val="0"/>
                <w:color w:val="000000" w:themeColor="text1"/>
              </w:rPr>
              <w:lastRenderedPageBreak/>
              <w:t xml:space="preserve">(Our Watch 2019, p. 88). These structural inequalities intersect with gender and rigid gender norms of masculinity. For example, essentialist understandings around dominant forms of masculinity that promote heteronormativity and Cisnormativity are often associated with high levels of bullying and violence experienced by men who are gay, bisexual or trans (Our Watch 2019, p. 88). This violence is reinforced through essentialist and binary understandings of gender, that promotes homophobia, </w:t>
            </w:r>
            <w:proofErr w:type="gramStart"/>
            <w:r w:rsidRPr="00437FB5">
              <w:rPr>
                <w:b w:val="0"/>
                <w:bCs w:val="0"/>
                <w:color w:val="000000" w:themeColor="text1"/>
              </w:rPr>
              <w:t>biphobia</w:t>
            </w:r>
            <w:proofErr w:type="gramEnd"/>
            <w:r w:rsidRPr="00437FB5">
              <w:rPr>
                <w:b w:val="0"/>
                <w:bCs w:val="0"/>
                <w:color w:val="000000" w:themeColor="text1"/>
              </w:rPr>
              <w:t xml:space="preserve"> and transphobia (Rainbow Health 2020, pp. 9-10; Our Watch 2019, p. 88; see </w:t>
            </w:r>
            <w:r w:rsidR="002166A0">
              <w:rPr>
                <w:b w:val="0"/>
                <w:bCs w:val="0"/>
                <w:color w:val="000000" w:themeColor="text1"/>
              </w:rPr>
              <w:t>pages 12-17</w:t>
            </w:r>
            <w:r w:rsidRPr="00437FB5">
              <w:rPr>
                <w:b w:val="0"/>
                <w:bCs w:val="0"/>
                <w:color w:val="000000" w:themeColor="text1"/>
              </w:rPr>
              <w:t xml:space="preserve">). Primary prevention of violence against women does not discount men’s experiences of violence and the negative impacts of rigid gender norms, </w:t>
            </w:r>
            <w:proofErr w:type="gramStart"/>
            <w:r w:rsidRPr="00437FB5">
              <w:rPr>
                <w:b w:val="0"/>
                <w:bCs w:val="0"/>
                <w:color w:val="000000" w:themeColor="text1"/>
              </w:rPr>
              <w:t>practices</w:t>
            </w:r>
            <w:proofErr w:type="gramEnd"/>
            <w:r w:rsidRPr="00437FB5">
              <w:rPr>
                <w:b w:val="0"/>
                <w:bCs w:val="0"/>
                <w:color w:val="000000" w:themeColor="text1"/>
              </w:rPr>
              <w:t xml:space="preserve"> and structures. </w:t>
            </w:r>
          </w:p>
          <w:p w14:paraId="11A8C6EB" w14:textId="77777777" w:rsidR="00CD5E7D" w:rsidRPr="00437FB5" w:rsidRDefault="00CD5E7D" w:rsidP="00015ABE">
            <w:pPr>
              <w:rPr>
                <w:color w:val="000000" w:themeColor="text1"/>
              </w:rPr>
            </w:pPr>
          </w:p>
          <w:p w14:paraId="12E3E344" w14:textId="13787BE5" w:rsidR="00CD5E7D" w:rsidRPr="00437FB5" w:rsidRDefault="00CD5E7D" w:rsidP="00015ABE">
            <w:pPr>
              <w:rPr>
                <w:color w:val="000000" w:themeColor="text1"/>
              </w:rPr>
            </w:pPr>
            <w:r w:rsidRPr="00437FB5">
              <w:rPr>
                <w:b w:val="0"/>
                <w:bCs w:val="0"/>
                <w:color w:val="000000" w:themeColor="text1"/>
              </w:rPr>
              <w:t xml:space="preserve">Rather, primary prevention of violence against women efforts highlights </w:t>
            </w:r>
            <w:proofErr w:type="gramStart"/>
            <w:r w:rsidRPr="00437FB5">
              <w:rPr>
                <w:b w:val="0"/>
                <w:bCs w:val="0"/>
                <w:color w:val="000000" w:themeColor="text1"/>
              </w:rPr>
              <w:t>that women</w:t>
            </w:r>
            <w:proofErr w:type="gramEnd"/>
            <w:r w:rsidRPr="00437FB5">
              <w:rPr>
                <w:b w:val="0"/>
                <w:bCs w:val="0"/>
                <w:color w:val="000000" w:themeColor="text1"/>
              </w:rPr>
              <w:t xml:space="preserve"> experience much greater impacts of violence and gender inequality, that men are the majority of perpetrators of violence against women </w:t>
            </w:r>
            <w:r w:rsidRPr="0025559B">
              <w:rPr>
                <w:b w:val="0"/>
                <w:bCs w:val="0"/>
                <w:i/>
                <w:iCs/>
                <w:color w:val="000000" w:themeColor="text1"/>
              </w:rPr>
              <w:t>and men</w:t>
            </w:r>
            <w:r>
              <w:rPr>
                <w:b w:val="0"/>
                <w:bCs w:val="0"/>
                <w:color w:val="000000" w:themeColor="text1"/>
              </w:rPr>
              <w:t>,</w:t>
            </w:r>
            <w:r w:rsidRPr="00437FB5">
              <w:rPr>
                <w:b w:val="0"/>
                <w:bCs w:val="0"/>
                <w:color w:val="000000" w:themeColor="text1"/>
              </w:rPr>
              <w:t xml:space="preserve"> and that men benefit from the gendered systems that privilege men as a group over women as a group</w:t>
            </w:r>
            <w:r w:rsidRPr="00437FB5">
              <w:rPr>
                <w:color w:val="000000" w:themeColor="text1"/>
              </w:rPr>
              <w:t>.</w:t>
            </w:r>
            <w:r w:rsidRPr="00437FB5">
              <w:rPr>
                <w:b w:val="0"/>
                <w:bCs w:val="0"/>
                <w:color w:val="000000" w:themeColor="text1"/>
              </w:rPr>
              <w:t xml:space="preserve"> </w:t>
            </w:r>
            <w:r w:rsidR="00564512">
              <w:rPr>
                <w:b w:val="0"/>
                <w:bCs w:val="0"/>
                <w:color w:val="000000" w:themeColor="text1"/>
              </w:rPr>
              <w:t>A</w:t>
            </w:r>
            <w:r w:rsidRPr="00437FB5">
              <w:rPr>
                <w:b w:val="0"/>
                <w:bCs w:val="0"/>
                <w:color w:val="000000" w:themeColor="text1"/>
              </w:rPr>
              <w:t xml:space="preserve">s detailed in </w:t>
            </w:r>
            <w:r w:rsidRPr="00437FB5">
              <w:rPr>
                <w:b w:val="0"/>
                <w:bCs w:val="0"/>
                <w:i/>
                <w:iCs/>
                <w:color w:val="000000" w:themeColor="text1"/>
              </w:rPr>
              <w:t>Men in focus</w:t>
            </w:r>
            <w:r w:rsidRPr="00437FB5">
              <w:rPr>
                <w:b w:val="0"/>
                <w:bCs w:val="0"/>
                <w:color w:val="000000" w:themeColor="text1"/>
              </w:rPr>
              <w:t xml:space="preserve"> (2019, p. 85), “the same dominant norms and practices of masculinity and structures of power that privilege men over women, and some men more than others” impact negatively on men’s lives, including men’s mental health outcomes, suicide rates, and victimisation of male perpetrators (see also pp. 85-89). </w:t>
            </w:r>
          </w:p>
          <w:p w14:paraId="4B925C87" w14:textId="77777777" w:rsidR="00CD5E7D" w:rsidRPr="00437FB5" w:rsidRDefault="00CD5E7D" w:rsidP="00015ABE">
            <w:pPr>
              <w:rPr>
                <w:color w:val="000000" w:themeColor="text1"/>
              </w:rPr>
            </w:pPr>
          </w:p>
          <w:p w14:paraId="48F4830E" w14:textId="2CFE7CD8" w:rsidR="00CD5E7D" w:rsidRPr="00437FB5" w:rsidRDefault="00CD5E7D" w:rsidP="00015ABE">
            <w:r w:rsidRPr="00437FB5">
              <w:rPr>
                <w:rFonts w:cs="Calibri"/>
                <w:b w:val="0"/>
                <w:bCs w:val="0"/>
                <w:color w:val="000000" w:themeColor="text1"/>
              </w:rPr>
              <w:t xml:space="preserve">Often, </w:t>
            </w:r>
            <w:r>
              <w:rPr>
                <w:rFonts w:cs="Calibri"/>
                <w:b w:val="0"/>
                <w:bCs w:val="0"/>
                <w:color w:val="000000" w:themeColor="text1"/>
              </w:rPr>
              <w:t xml:space="preserve">these kinds of </w:t>
            </w:r>
            <w:r w:rsidRPr="00437FB5">
              <w:rPr>
                <w:rFonts w:cs="Calibri"/>
                <w:b w:val="0"/>
                <w:bCs w:val="0"/>
                <w:color w:val="000000" w:themeColor="text1"/>
              </w:rPr>
              <w:t xml:space="preserve">“what </w:t>
            </w:r>
            <w:r w:rsidRPr="007E4EF0">
              <w:rPr>
                <w:rFonts w:cs="Calibri"/>
                <w:b w:val="0"/>
                <w:bCs w:val="0"/>
                <w:color w:val="000000" w:themeColor="text1"/>
              </w:rPr>
              <w:t>about”</w:t>
            </w:r>
            <w:r w:rsidRPr="00437FB5">
              <w:rPr>
                <w:rFonts w:cs="Calibri"/>
                <w:b w:val="0"/>
                <w:bCs w:val="0"/>
                <w:color w:val="000000" w:themeColor="text1"/>
              </w:rPr>
              <w:t xml:space="preserve"> responses seek to shift the focus to men’s experiences as victims.</w:t>
            </w:r>
            <w:r w:rsidRPr="00437FB5">
              <w:rPr>
                <w:rFonts w:cs="Calibri"/>
                <w:color w:val="000000" w:themeColor="text1"/>
              </w:rPr>
              <w:t xml:space="preserve"> </w:t>
            </w:r>
            <w:r w:rsidRPr="00437FB5">
              <w:rPr>
                <w:b w:val="0"/>
                <w:bCs w:val="0"/>
                <w:color w:val="000000" w:themeColor="text1"/>
              </w:rPr>
              <w:t xml:space="preserve">An analysis of Facebook comments responding to Our Watch’s </w:t>
            </w:r>
            <w:r w:rsidRPr="001F26B6">
              <w:rPr>
                <w:i/>
                <w:color w:val="000000" w:themeColor="text1"/>
              </w:rPr>
              <w:t>Doing Nothing Does Harm</w:t>
            </w:r>
            <w:r w:rsidRPr="00437FB5">
              <w:rPr>
                <w:b w:val="0"/>
                <w:bCs w:val="0"/>
                <w:color w:val="000000" w:themeColor="text1"/>
              </w:rPr>
              <w:t xml:space="preserve"> campaign </w:t>
            </w:r>
            <w:r>
              <w:rPr>
                <w:b w:val="0"/>
                <w:bCs w:val="0"/>
                <w:color w:val="000000" w:themeColor="text1"/>
              </w:rPr>
              <w:t>(which</w:t>
            </w:r>
            <w:r w:rsidRPr="00437FB5">
              <w:rPr>
                <w:b w:val="0"/>
                <w:bCs w:val="0"/>
                <w:color w:val="000000" w:themeColor="text1"/>
              </w:rPr>
              <w:t xml:space="preserve"> </w:t>
            </w:r>
            <w:r w:rsidRPr="00437FB5">
              <w:rPr>
                <w:b w:val="0"/>
                <w:bCs w:val="0"/>
              </w:rPr>
              <w:t>addresses disrespect that makes women feel uncomfortable, unsafe, put down, or unfairly treated</w:t>
            </w:r>
            <w:r>
              <w:rPr>
                <w:b w:val="0"/>
                <w:bCs w:val="0"/>
              </w:rPr>
              <w:t>)</w:t>
            </w:r>
            <w:r w:rsidRPr="00437FB5">
              <w:rPr>
                <w:b w:val="0"/>
                <w:bCs w:val="0"/>
              </w:rPr>
              <w:t xml:space="preserve"> illustrated the prevalence of ‘what about men’ responses. In specific coding of the 8 different forms of resistance for 100 Facebook comments to one advertisement</w:t>
            </w:r>
            <w:r w:rsidRPr="00437FB5">
              <w:rPr>
                <w:rStyle w:val="FootnoteReference"/>
              </w:rPr>
              <w:footnoteReference w:id="13"/>
            </w:r>
            <w:r w:rsidRPr="00437FB5">
              <w:rPr>
                <w:b w:val="0"/>
                <w:bCs w:val="0"/>
              </w:rPr>
              <w:t>, 63 comments displayed one or more forms of resistance. Overwhelmingly, these comments rejected the message of the campaign about disrespect towards women, reversing the message and mention disrespect towards ‘men’ or neutralising the message that disrespect happens towards ‘everyone’ and is not gender specific. For example:</w:t>
            </w:r>
          </w:p>
          <w:p w14:paraId="67548C05" w14:textId="77777777" w:rsidR="00CD5E7D" w:rsidRPr="00437FB5" w:rsidRDefault="00CD5E7D" w:rsidP="00B01F9C">
            <w:pPr>
              <w:pStyle w:val="Quote"/>
              <w:numPr>
                <w:ilvl w:val="1"/>
                <w:numId w:val="17"/>
              </w:numPr>
              <w:spacing w:before="80" w:after="80" w:line="240" w:lineRule="auto"/>
              <w:ind w:left="722" w:right="862"/>
              <w:rPr>
                <w:rFonts w:cs="Apple Color Emoji"/>
                <w:b w:val="0"/>
                <w:bCs w:val="0"/>
                <w:sz w:val="24"/>
              </w:rPr>
            </w:pPr>
            <w:r w:rsidRPr="00437FB5">
              <w:rPr>
                <w:b w:val="0"/>
                <w:bCs w:val="0"/>
                <w:sz w:val="24"/>
              </w:rPr>
              <w:t xml:space="preserve">“What about disrespect towards men? Or is that ok? </w:t>
            </w:r>
            <w:r w:rsidRPr="00437FB5">
              <w:rPr>
                <w:rFonts w:ascii="Apple Color Emoji" w:hAnsi="Apple Color Emoji" w:cs="Apple Color Emoji"/>
                <w:b w:val="0"/>
                <w:bCs w:val="0"/>
                <w:sz w:val="24"/>
              </w:rPr>
              <w:t>🙄</w:t>
            </w:r>
            <w:r w:rsidRPr="00437FB5">
              <w:rPr>
                <w:rFonts w:cs="Apple Color Emoji"/>
                <w:b w:val="0"/>
                <w:bCs w:val="0"/>
                <w:sz w:val="24"/>
              </w:rPr>
              <w:t>”</w:t>
            </w:r>
          </w:p>
          <w:p w14:paraId="318C9726" w14:textId="77777777" w:rsidR="00CD5E7D" w:rsidRPr="00437FB5" w:rsidRDefault="00CD5E7D" w:rsidP="00B01F9C">
            <w:pPr>
              <w:pStyle w:val="Quote"/>
              <w:numPr>
                <w:ilvl w:val="1"/>
                <w:numId w:val="17"/>
              </w:numPr>
              <w:spacing w:before="80" w:after="80" w:line="240" w:lineRule="auto"/>
              <w:ind w:left="722" w:right="862"/>
              <w:rPr>
                <w:b w:val="0"/>
                <w:bCs w:val="0"/>
                <w:sz w:val="24"/>
              </w:rPr>
            </w:pPr>
            <w:r w:rsidRPr="00437FB5">
              <w:rPr>
                <w:b w:val="0"/>
                <w:bCs w:val="0"/>
                <w:sz w:val="24"/>
              </w:rPr>
              <w:t>“There is also disrespect towards men too”</w:t>
            </w:r>
          </w:p>
          <w:p w14:paraId="798F65E4" w14:textId="77777777" w:rsidR="00CD5E7D" w:rsidRPr="00437FB5" w:rsidRDefault="00CD5E7D" w:rsidP="00B01F9C">
            <w:pPr>
              <w:pStyle w:val="Quote"/>
              <w:numPr>
                <w:ilvl w:val="1"/>
                <w:numId w:val="17"/>
              </w:numPr>
              <w:spacing w:before="80" w:after="80" w:line="240" w:lineRule="auto"/>
              <w:ind w:left="722" w:right="862"/>
              <w:rPr>
                <w:b w:val="0"/>
                <w:bCs w:val="0"/>
                <w:sz w:val="24"/>
              </w:rPr>
            </w:pPr>
            <w:r w:rsidRPr="00437FB5">
              <w:rPr>
                <w:b w:val="0"/>
                <w:bCs w:val="0"/>
                <w:sz w:val="24"/>
              </w:rPr>
              <w:t>“</w:t>
            </w:r>
            <w:proofErr w:type="gramStart"/>
            <w:r w:rsidRPr="00437FB5">
              <w:rPr>
                <w:b w:val="0"/>
                <w:bCs w:val="0"/>
                <w:sz w:val="24"/>
              </w:rPr>
              <w:t>what</w:t>
            </w:r>
            <w:proofErr w:type="gramEnd"/>
            <w:r w:rsidRPr="00437FB5">
              <w:rPr>
                <w:b w:val="0"/>
                <w:bCs w:val="0"/>
                <w:sz w:val="24"/>
              </w:rPr>
              <w:t xml:space="preserve"> about disrespect towards men? Is that ok or nah?”</w:t>
            </w:r>
          </w:p>
          <w:p w14:paraId="0D44DAE9" w14:textId="52FBB351" w:rsidR="00CD5E7D" w:rsidRPr="00437FB5" w:rsidRDefault="00CD5E7D" w:rsidP="00B01F9C">
            <w:pPr>
              <w:pStyle w:val="Quote"/>
              <w:numPr>
                <w:ilvl w:val="1"/>
                <w:numId w:val="17"/>
              </w:numPr>
              <w:spacing w:before="80" w:after="80" w:line="240" w:lineRule="auto"/>
              <w:ind w:left="722" w:right="862"/>
              <w:rPr>
                <w:b w:val="0"/>
                <w:bCs w:val="0"/>
                <w:sz w:val="24"/>
              </w:rPr>
            </w:pPr>
            <w:r w:rsidRPr="00437FB5">
              <w:rPr>
                <w:b w:val="0"/>
                <w:bCs w:val="0"/>
                <w:sz w:val="24"/>
              </w:rPr>
              <w:t xml:space="preserve">“What about disrespect toward men. Who puts up these ridiculous sexist </w:t>
            </w:r>
            <w:proofErr w:type="gramStart"/>
            <w:r w:rsidRPr="00437FB5">
              <w:rPr>
                <w:b w:val="0"/>
                <w:bCs w:val="0"/>
                <w:sz w:val="24"/>
              </w:rPr>
              <w:t>ads.</w:t>
            </w:r>
            <w:proofErr w:type="gramEnd"/>
            <w:r w:rsidRPr="00437FB5">
              <w:rPr>
                <w:b w:val="0"/>
                <w:bCs w:val="0"/>
                <w:sz w:val="24"/>
              </w:rPr>
              <w:t xml:space="preserve"> Each gender is just as important as the other. You should be ashamed.”</w:t>
            </w:r>
          </w:p>
          <w:p w14:paraId="258ED285" w14:textId="3B7E137B" w:rsidR="00CD5E7D" w:rsidRPr="00437FB5" w:rsidRDefault="00CD5E7D" w:rsidP="00B01F9C">
            <w:pPr>
              <w:pStyle w:val="Quote"/>
              <w:numPr>
                <w:ilvl w:val="1"/>
                <w:numId w:val="17"/>
              </w:numPr>
              <w:spacing w:before="80" w:after="80" w:line="240" w:lineRule="auto"/>
              <w:ind w:left="722" w:right="862"/>
              <w:rPr>
                <w:b w:val="0"/>
                <w:bCs w:val="0"/>
                <w:sz w:val="24"/>
              </w:rPr>
            </w:pPr>
            <w:r w:rsidRPr="00437FB5">
              <w:rPr>
                <w:b w:val="0"/>
                <w:bCs w:val="0"/>
                <w:sz w:val="24"/>
              </w:rPr>
              <w:t>“</w:t>
            </w:r>
            <w:proofErr w:type="gramStart"/>
            <w:r w:rsidRPr="00437FB5">
              <w:rPr>
                <w:b w:val="0"/>
                <w:bCs w:val="0"/>
                <w:sz w:val="24"/>
              </w:rPr>
              <w:t>you</w:t>
            </w:r>
            <w:proofErr w:type="gramEnd"/>
            <w:r w:rsidRPr="00437FB5">
              <w:rPr>
                <w:b w:val="0"/>
                <w:bCs w:val="0"/>
                <w:sz w:val="24"/>
              </w:rPr>
              <w:t xml:space="preserve"> only put it towards women. Did you know that men get disrespected as well it</w:t>
            </w:r>
            <w:r>
              <w:rPr>
                <w:b w:val="0"/>
                <w:bCs w:val="0"/>
                <w:sz w:val="24"/>
              </w:rPr>
              <w:t>’</w:t>
            </w:r>
            <w:r w:rsidRPr="00437FB5">
              <w:rPr>
                <w:b w:val="0"/>
                <w:bCs w:val="0"/>
                <w:sz w:val="24"/>
              </w:rPr>
              <w:t xml:space="preserve">s not a gender </w:t>
            </w:r>
            <w:proofErr w:type="gramStart"/>
            <w:r w:rsidRPr="00437FB5">
              <w:rPr>
                <w:b w:val="0"/>
                <w:bCs w:val="0"/>
                <w:sz w:val="24"/>
              </w:rPr>
              <w:t>thing.</w:t>
            </w:r>
            <w:proofErr w:type="gramEnd"/>
            <w:r w:rsidRPr="00437FB5">
              <w:rPr>
                <w:b w:val="0"/>
                <w:bCs w:val="0"/>
                <w:sz w:val="24"/>
              </w:rPr>
              <w:t xml:space="preserve"> your website does more harm than good”</w:t>
            </w:r>
          </w:p>
          <w:p w14:paraId="732F02CB" w14:textId="6EBE3883" w:rsidR="00CD5E7D" w:rsidRPr="00437FB5" w:rsidRDefault="00CD5E7D" w:rsidP="00B01F9C">
            <w:pPr>
              <w:pStyle w:val="Quote"/>
              <w:numPr>
                <w:ilvl w:val="1"/>
                <w:numId w:val="17"/>
              </w:numPr>
              <w:spacing w:before="80" w:after="80" w:line="240" w:lineRule="auto"/>
              <w:ind w:left="722" w:right="862"/>
              <w:rPr>
                <w:b w:val="0"/>
                <w:bCs w:val="0"/>
                <w:sz w:val="24"/>
              </w:rPr>
            </w:pPr>
            <w:r w:rsidRPr="00437FB5">
              <w:rPr>
                <w:b w:val="0"/>
                <w:bCs w:val="0"/>
                <w:sz w:val="24"/>
              </w:rPr>
              <w:t xml:space="preserve">“All I hear is woman </w:t>
            </w:r>
            <w:proofErr w:type="spellStart"/>
            <w:r w:rsidRPr="00437FB5">
              <w:rPr>
                <w:b w:val="0"/>
                <w:bCs w:val="0"/>
                <w:sz w:val="24"/>
              </w:rPr>
              <w:t>woman</w:t>
            </w:r>
            <w:proofErr w:type="spellEnd"/>
            <w:r w:rsidRPr="00437FB5">
              <w:rPr>
                <w:b w:val="0"/>
                <w:bCs w:val="0"/>
                <w:sz w:val="24"/>
              </w:rPr>
              <w:t xml:space="preserve"> </w:t>
            </w:r>
            <w:proofErr w:type="spellStart"/>
            <w:r w:rsidRPr="00437FB5">
              <w:rPr>
                <w:b w:val="0"/>
                <w:bCs w:val="0"/>
                <w:sz w:val="24"/>
              </w:rPr>
              <w:t>woman</w:t>
            </w:r>
            <w:proofErr w:type="spellEnd"/>
            <w:r w:rsidRPr="00437FB5">
              <w:rPr>
                <w:b w:val="0"/>
                <w:bCs w:val="0"/>
                <w:sz w:val="24"/>
              </w:rPr>
              <w:t>.</w:t>
            </w:r>
            <w:r>
              <w:rPr>
                <w:b w:val="0"/>
                <w:bCs w:val="0"/>
                <w:sz w:val="24"/>
              </w:rPr>
              <w:t xml:space="preserve"> </w:t>
            </w:r>
            <w:r w:rsidRPr="00437FB5">
              <w:rPr>
                <w:b w:val="0"/>
                <w:bCs w:val="0"/>
                <w:sz w:val="24"/>
              </w:rPr>
              <w:t>no help for men.”</w:t>
            </w:r>
          </w:p>
          <w:p w14:paraId="6D8B14B6" w14:textId="1035ACC7" w:rsidR="00CD5E7D" w:rsidRPr="00437FB5" w:rsidRDefault="00CD5E7D" w:rsidP="00015ABE">
            <w:r w:rsidRPr="00437FB5">
              <w:rPr>
                <w:b w:val="0"/>
                <w:bCs w:val="0"/>
              </w:rPr>
              <w:t>These kinds of defensive statements individuali</w:t>
            </w:r>
            <w:r w:rsidR="009E41D4">
              <w:rPr>
                <w:b w:val="0"/>
                <w:bCs w:val="0"/>
              </w:rPr>
              <w:t>s</w:t>
            </w:r>
            <w:r w:rsidRPr="00437FB5">
              <w:rPr>
                <w:b w:val="0"/>
                <w:bCs w:val="0"/>
              </w:rPr>
              <w:t xml:space="preserve">e violence against women </w:t>
            </w:r>
            <w:r>
              <w:rPr>
                <w:b w:val="0"/>
                <w:bCs w:val="0"/>
              </w:rPr>
              <w:t>using</w:t>
            </w:r>
            <w:r w:rsidRPr="00437FB5">
              <w:rPr>
                <w:b w:val="0"/>
                <w:bCs w:val="0"/>
              </w:rPr>
              <w:t xml:space="preserve"> anecdotal evidence rather than </w:t>
            </w:r>
            <w:r>
              <w:rPr>
                <w:b w:val="0"/>
                <w:bCs w:val="0"/>
              </w:rPr>
              <w:t xml:space="preserve">any </w:t>
            </w:r>
            <w:r w:rsidRPr="00437FB5">
              <w:rPr>
                <w:b w:val="0"/>
                <w:bCs w:val="0"/>
              </w:rPr>
              <w:t xml:space="preserve">understanding </w:t>
            </w:r>
            <w:r>
              <w:rPr>
                <w:b w:val="0"/>
                <w:bCs w:val="0"/>
              </w:rPr>
              <w:t xml:space="preserve">of </w:t>
            </w:r>
            <w:r w:rsidRPr="00437FB5">
              <w:rPr>
                <w:b w:val="0"/>
                <w:bCs w:val="0"/>
              </w:rPr>
              <w:t xml:space="preserve">the structural gender dynamics that drive violence against women in all its forms. </w:t>
            </w:r>
            <w:r>
              <w:rPr>
                <w:b w:val="0"/>
                <w:bCs w:val="0"/>
              </w:rPr>
              <w:t>This kind of resistance</w:t>
            </w:r>
            <w:r w:rsidRPr="00437FB5">
              <w:rPr>
                <w:b w:val="0"/>
                <w:bCs w:val="0"/>
              </w:rPr>
              <w:t xml:space="preserve"> rejects the notion that we all have a part to play in critically examining our learned sexist behaviours</w:t>
            </w:r>
            <w:r>
              <w:rPr>
                <w:b w:val="0"/>
                <w:bCs w:val="0"/>
              </w:rPr>
              <w:t>,</w:t>
            </w:r>
            <w:r w:rsidRPr="00437FB5">
              <w:rPr>
                <w:b w:val="0"/>
                <w:bCs w:val="0"/>
              </w:rPr>
              <w:t xml:space="preserve"> </w:t>
            </w:r>
            <w:proofErr w:type="gramStart"/>
            <w:r>
              <w:rPr>
                <w:b w:val="0"/>
                <w:bCs w:val="0"/>
              </w:rPr>
              <w:t>attitudes</w:t>
            </w:r>
            <w:proofErr w:type="gramEnd"/>
            <w:r w:rsidRPr="00437FB5">
              <w:rPr>
                <w:b w:val="0"/>
                <w:bCs w:val="0"/>
              </w:rPr>
              <w:t xml:space="preserve"> and internalised misogyny (Flood 2019, p. 289; Our Watch 2019, p. 84</w:t>
            </w:r>
            <w:r>
              <w:rPr>
                <w:b w:val="0"/>
                <w:bCs w:val="0"/>
              </w:rPr>
              <w:t>; see also Eaton 2018</w:t>
            </w:r>
            <w:r w:rsidRPr="00437FB5">
              <w:rPr>
                <w:b w:val="0"/>
                <w:bCs w:val="0"/>
              </w:rPr>
              <w:t xml:space="preserve">). </w:t>
            </w:r>
          </w:p>
          <w:p w14:paraId="0BA68AC6" w14:textId="77777777" w:rsidR="00CD5E7D" w:rsidRPr="00437FB5" w:rsidRDefault="00CD5E7D" w:rsidP="00015ABE">
            <w:pPr>
              <w:rPr>
                <w:b w:val="0"/>
                <w:bCs w:val="0"/>
              </w:rPr>
            </w:pPr>
          </w:p>
          <w:p w14:paraId="0F267CC3" w14:textId="77777777" w:rsidR="00CD5E7D" w:rsidRPr="00437FB5" w:rsidRDefault="00CD5E7D" w:rsidP="00015ABE">
            <w:r w:rsidRPr="00437FB5">
              <w:rPr>
                <w:b w:val="0"/>
                <w:bCs w:val="0"/>
              </w:rPr>
              <w:t>Therefore, ‘</w:t>
            </w:r>
            <w:proofErr w:type="spellStart"/>
            <w:r w:rsidRPr="00437FB5">
              <w:rPr>
                <w:b w:val="0"/>
                <w:bCs w:val="0"/>
              </w:rPr>
              <w:t>whataboutery</w:t>
            </w:r>
            <w:proofErr w:type="spellEnd"/>
            <w:r w:rsidRPr="00437FB5">
              <w:rPr>
                <w:b w:val="0"/>
                <w:bCs w:val="0"/>
              </w:rPr>
              <w:t>’ has elements of most forms of resistance and backlash by:</w:t>
            </w:r>
          </w:p>
          <w:p w14:paraId="528D0C78" w14:textId="763204B0" w:rsidR="00CD5E7D" w:rsidRPr="00437FB5" w:rsidRDefault="00CD5E7D" w:rsidP="00B01F9C">
            <w:pPr>
              <w:pStyle w:val="ListParagraph"/>
              <w:numPr>
                <w:ilvl w:val="0"/>
                <w:numId w:val="18"/>
              </w:numPr>
              <w:spacing w:before="0"/>
              <w:contextualSpacing/>
              <w:rPr>
                <w:b w:val="0"/>
                <w:bCs w:val="0"/>
              </w:rPr>
            </w:pPr>
            <w:r w:rsidRPr="00437FB5">
              <w:rPr>
                <w:b w:val="0"/>
                <w:bCs w:val="0"/>
              </w:rPr>
              <w:t>minimising the extent of violence against women</w:t>
            </w:r>
          </w:p>
          <w:p w14:paraId="08244A50" w14:textId="77EACF31" w:rsidR="00CD5E7D" w:rsidRPr="00437FB5" w:rsidRDefault="00CD5E7D" w:rsidP="00B01F9C">
            <w:pPr>
              <w:pStyle w:val="ListParagraph"/>
              <w:numPr>
                <w:ilvl w:val="0"/>
                <w:numId w:val="18"/>
              </w:numPr>
              <w:spacing w:before="0"/>
              <w:contextualSpacing/>
              <w:rPr>
                <w:b w:val="0"/>
                <w:bCs w:val="0"/>
              </w:rPr>
            </w:pPr>
            <w:r w:rsidRPr="00437FB5">
              <w:rPr>
                <w:b w:val="0"/>
                <w:bCs w:val="0"/>
              </w:rPr>
              <w:t>reversing discrimination and fram</w:t>
            </w:r>
            <w:r>
              <w:rPr>
                <w:b w:val="0"/>
                <w:bCs w:val="0"/>
              </w:rPr>
              <w:t xml:space="preserve">ing </w:t>
            </w:r>
            <w:r w:rsidRPr="00437FB5">
              <w:rPr>
                <w:b w:val="0"/>
                <w:bCs w:val="0"/>
              </w:rPr>
              <w:t>men as victims</w:t>
            </w:r>
          </w:p>
          <w:p w14:paraId="7343960F" w14:textId="061B835D" w:rsidR="00CD5E7D" w:rsidRPr="00437FB5" w:rsidRDefault="00CD5E7D" w:rsidP="00B01F9C">
            <w:pPr>
              <w:pStyle w:val="ListParagraph"/>
              <w:numPr>
                <w:ilvl w:val="0"/>
                <w:numId w:val="18"/>
              </w:numPr>
              <w:spacing w:before="0"/>
              <w:contextualSpacing/>
              <w:rPr>
                <w:b w:val="0"/>
                <w:bCs w:val="0"/>
              </w:rPr>
            </w:pPr>
            <w:r w:rsidRPr="00437FB5">
              <w:rPr>
                <w:b w:val="0"/>
                <w:bCs w:val="0"/>
              </w:rPr>
              <w:t>not acknowledging responsibility to critically reflect on complicitly in the perpetuation of patriarchy and the gendered drivers of violence</w:t>
            </w:r>
          </w:p>
          <w:p w14:paraId="02E0A3BB" w14:textId="688B444D" w:rsidR="00CD5E7D" w:rsidRPr="00437FB5" w:rsidRDefault="00CD5E7D" w:rsidP="00B01F9C">
            <w:pPr>
              <w:pStyle w:val="ListParagraph"/>
              <w:numPr>
                <w:ilvl w:val="0"/>
                <w:numId w:val="18"/>
              </w:numPr>
              <w:spacing w:before="0"/>
              <w:contextualSpacing/>
              <w:rPr>
                <w:b w:val="0"/>
                <w:bCs w:val="0"/>
              </w:rPr>
            </w:pPr>
            <w:r w:rsidRPr="00437FB5">
              <w:rPr>
                <w:b w:val="0"/>
                <w:bCs w:val="0"/>
              </w:rPr>
              <w:t xml:space="preserve">appeasing by </w:t>
            </w:r>
            <w:r>
              <w:rPr>
                <w:b w:val="0"/>
                <w:bCs w:val="0"/>
              </w:rPr>
              <w:t>framing</w:t>
            </w:r>
            <w:r w:rsidRPr="00437FB5">
              <w:rPr>
                <w:b w:val="0"/>
                <w:bCs w:val="0"/>
              </w:rPr>
              <w:t xml:space="preserve"> women </w:t>
            </w:r>
            <w:r>
              <w:rPr>
                <w:b w:val="0"/>
                <w:bCs w:val="0"/>
              </w:rPr>
              <w:t xml:space="preserve">as </w:t>
            </w:r>
            <w:proofErr w:type="gramStart"/>
            <w:r>
              <w:rPr>
                <w:b w:val="0"/>
                <w:bCs w:val="0"/>
              </w:rPr>
              <w:t xml:space="preserve">being </w:t>
            </w:r>
            <w:r w:rsidRPr="00437FB5">
              <w:rPr>
                <w:b w:val="0"/>
                <w:bCs w:val="0"/>
              </w:rPr>
              <w:t xml:space="preserve">in need </w:t>
            </w:r>
            <w:r>
              <w:rPr>
                <w:b w:val="0"/>
                <w:bCs w:val="0"/>
              </w:rPr>
              <w:t>of</w:t>
            </w:r>
            <w:proofErr w:type="gramEnd"/>
            <w:r>
              <w:rPr>
                <w:b w:val="0"/>
                <w:bCs w:val="0"/>
              </w:rPr>
              <w:t xml:space="preserve"> </w:t>
            </w:r>
            <w:r w:rsidRPr="00437FB5">
              <w:rPr>
                <w:b w:val="0"/>
                <w:bCs w:val="0"/>
              </w:rPr>
              <w:t>protection rather than address</w:t>
            </w:r>
            <w:r>
              <w:rPr>
                <w:b w:val="0"/>
                <w:bCs w:val="0"/>
              </w:rPr>
              <w:t>ing</w:t>
            </w:r>
            <w:r w:rsidRPr="00437FB5">
              <w:rPr>
                <w:b w:val="0"/>
                <w:bCs w:val="0"/>
              </w:rPr>
              <w:t xml:space="preserve"> perpetrator actions and the broader norms, practices and structures that sustain the gendered drivers of violence</w:t>
            </w:r>
          </w:p>
          <w:p w14:paraId="7EF5EE28" w14:textId="41C81CAF" w:rsidR="00CD5E7D" w:rsidRPr="00437FB5" w:rsidRDefault="00CD5E7D" w:rsidP="00B01F9C">
            <w:pPr>
              <w:pStyle w:val="ListParagraph"/>
              <w:numPr>
                <w:ilvl w:val="0"/>
                <w:numId w:val="18"/>
              </w:numPr>
              <w:spacing w:before="0"/>
              <w:contextualSpacing/>
              <w:rPr>
                <w:b w:val="0"/>
                <w:bCs w:val="0"/>
              </w:rPr>
            </w:pPr>
            <w:r w:rsidRPr="00437FB5">
              <w:rPr>
                <w:b w:val="0"/>
                <w:bCs w:val="0"/>
              </w:rPr>
              <w:t xml:space="preserve">appropriating and co-opting language by concealing structural power dynamics and </w:t>
            </w:r>
            <w:r>
              <w:rPr>
                <w:b w:val="0"/>
                <w:bCs w:val="0"/>
              </w:rPr>
              <w:t>using rights-based language to advocate</w:t>
            </w:r>
            <w:r w:rsidRPr="00437FB5">
              <w:rPr>
                <w:b w:val="0"/>
                <w:bCs w:val="0"/>
              </w:rPr>
              <w:t xml:space="preserve"> for men’s rights</w:t>
            </w:r>
          </w:p>
          <w:p w14:paraId="3BBE81B3" w14:textId="77777777" w:rsidR="00CD5E7D" w:rsidRPr="00437FB5" w:rsidRDefault="00CD5E7D" w:rsidP="00B01F9C">
            <w:pPr>
              <w:pStyle w:val="ListParagraph"/>
              <w:numPr>
                <w:ilvl w:val="0"/>
                <w:numId w:val="18"/>
              </w:numPr>
              <w:spacing w:before="0"/>
              <w:contextualSpacing/>
              <w:rPr>
                <w:b w:val="0"/>
                <w:bCs w:val="0"/>
              </w:rPr>
            </w:pPr>
            <w:r w:rsidRPr="00437FB5">
              <w:rPr>
                <w:b w:val="0"/>
                <w:bCs w:val="0"/>
              </w:rPr>
              <w:t>and being aggressive and violent.</w:t>
            </w:r>
          </w:p>
          <w:p w14:paraId="168282AD" w14:textId="77777777" w:rsidR="00CD5E7D" w:rsidRPr="00437FB5" w:rsidRDefault="00CD5E7D" w:rsidP="00015ABE"/>
          <w:p w14:paraId="27DBE7BD" w14:textId="77777777" w:rsidR="00CD5E7D" w:rsidRPr="00437FB5" w:rsidRDefault="00CD5E7D" w:rsidP="00015ABE">
            <w:pPr>
              <w:rPr>
                <w:b w:val="0"/>
                <w:bCs w:val="0"/>
              </w:rPr>
            </w:pPr>
            <w:r w:rsidRPr="00305F8D">
              <w:rPr>
                <w:rFonts w:cs="Calibri"/>
                <w:b w:val="0"/>
                <w:bCs w:val="0"/>
                <w:color w:val="000000"/>
                <w:shd w:val="clear" w:color="auto" w:fill="F2DBDB" w:themeFill="accent2" w:themeFillTint="33"/>
              </w:rPr>
              <w:t xml:space="preserve">Given the prevalence of ‘what about men’ and other similar statements in response to primary prevention efforts, there are opportunities to consider how to </w:t>
            </w:r>
            <w:r>
              <w:rPr>
                <w:rFonts w:cs="Calibri"/>
                <w:b w:val="0"/>
                <w:bCs w:val="0"/>
                <w:color w:val="000000"/>
                <w:shd w:val="clear" w:color="auto" w:fill="F2DBDB" w:themeFill="accent2" w:themeFillTint="33"/>
              </w:rPr>
              <w:t xml:space="preserve">anticipate and </w:t>
            </w:r>
            <w:r w:rsidRPr="00305F8D">
              <w:rPr>
                <w:rFonts w:cs="Calibri"/>
                <w:b w:val="0"/>
                <w:bCs w:val="0"/>
                <w:color w:val="000000"/>
                <w:shd w:val="clear" w:color="auto" w:fill="F2DBDB" w:themeFill="accent2" w:themeFillTint="33"/>
              </w:rPr>
              <w:t xml:space="preserve">address </w:t>
            </w:r>
            <w:r>
              <w:rPr>
                <w:rFonts w:cs="Calibri"/>
                <w:b w:val="0"/>
                <w:bCs w:val="0"/>
                <w:color w:val="000000"/>
                <w:shd w:val="clear" w:color="auto" w:fill="F2DBDB" w:themeFill="accent2" w:themeFillTint="33"/>
              </w:rPr>
              <w:t xml:space="preserve">this kind of </w:t>
            </w:r>
            <w:r w:rsidRPr="00305F8D">
              <w:rPr>
                <w:rFonts w:cs="Calibri"/>
                <w:b w:val="0"/>
                <w:bCs w:val="0"/>
                <w:color w:val="000000"/>
                <w:shd w:val="clear" w:color="auto" w:fill="F2DBDB" w:themeFill="accent2" w:themeFillTint="33"/>
              </w:rPr>
              <w:t xml:space="preserve">resistance from the outset. This includes expecting these questions and statements, having a menu of responses, and building such considerations into the primary prevention initiative. Such interventions can be used as an opportunity to create conversation and dialogue and to educate people about the disproportionate impacts of violence against women and create conversation. </w:t>
            </w:r>
            <w:r w:rsidRPr="00305F8D">
              <w:rPr>
                <w:b w:val="0"/>
                <w:bCs w:val="0"/>
                <w:shd w:val="clear" w:color="auto" w:fill="F2DBDB" w:themeFill="accent2" w:themeFillTint="33"/>
              </w:rPr>
              <w:t>As another</w:t>
            </w:r>
            <w:r w:rsidRPr="00437FB5">
              <w:rPr>
                <w:b w:val="0"/>
                <w:bCs w:val="0"/>
              </w:rPr>
              <w:t xml:space="preserve"> Facebook commenter responded in support of the </w:t>
            </w:r>
            <w:r w:rsidRPr="001F26B6">
              <w:rPr>
                <w:i/>
              </w:rPr>
              <w:t>Doing Nothing Does Harm</w:t>
            </w:r>
            <w:r w:rsidRPr="00437FB5">
              <w:rPr>
                <w:b w:val="0"/>
                <w:bCs w:val="0"/>
              </w:rPr>
              <w:t xml:space="preserve"> advertisement:</w:t>
            </w:r>
          </w:p>
          <w:p w14:paraId="0FCB4979" w14:textId="24BA7B71" w:rsidR="00CD5E7D" w:rsidRPr="00CD5E7D" w:rsidRDefault="00CD5E7D" w:rsidP="00C4511B">
            <w:pPr>
              <w:pStyle w:val="Quote"/>
              <w:keepNext/>
              <w:ind w:left="720"/>
              <w:rPr>
                <w:sz w:val="24"/>
              </w:rPr>
            </w:pPr>
            <w:r w:rsidRPr="00437FB5">
              <w:rPr>
                <w:b w:val="0"/>
                <w:bCs w:val="0"/>
                <w:sz w:val="24"/>
              </w:rPr>
              <w:t xml:space="preserve">The number of men commenting </w:t>
            </w:r>
            <w:r>
              <w:rPr>
                <w:b w:val="0"/>
                <w:bCs w:val="0"/>
                <w:sz w:val="24"/>
              </w:rPr>
              <w:t>“</w:t>
            </w:r>
            <w:r w:rsidRPr="00437FB5">
              <w:rPr>
                <w:b w:val="0"/>
                <w:bCs w:val="0"/>
                <w:sz w:val="24"/>
              </w:rPr>
              <w:t>What about men?</w:t>
            </w:r>
            <w:r>
              <w:rPr>
                <w:b w:val="0"/>
                <w:bCs w:val="0"/>
                <w:sz w:val="24"/>
              </w:rPr>
              <w:t>”</w:t>
            </w:r>
            <w:r w:rsidRPr="00437FB5">
              <w:rPr>
                <w:b w:val="0"/>
                <w:bCs w:val="0"/>
                <w:sz w:val="24"/>
              </w:rPr>
              <w:t xml:space="preserve"> in these kinds of posts is so frustrating. </w:t>
            </w:r>
            <w:proofErr w:type="gramStart"/>
            <w:r w:rsidRPr="00437FB5">
              <w:rPr>
                <w:b w:val="0"/>
                <w:bCs w:val="0"/>
                <w:sz w:val="24"/>
              </w:rPr>
              <w:t>Of course</w:t>
            </w:r>
            <w:proofErr w:type="gramEnd"/>
            <w:r w:rsidRPr="00437FB5">
              <w:rPr>
                <w:b w:val="0"/>
                <w:bCs w:val="0"/>
                <w:sz w:val="24"/>
              </w:rPr>
              <w:t xml:space="preserve"> we should be respecting men. But in a patriarchal society typically (stats support this) it is women that are disrespected. Yes, it happens to men too and that</w:t>
            </w:r>
            <w:r>
              <w:rPr>
                <w:b w:val="0"/>
                <w:bCs w:val="0"/>
                <w:sz w:val="24"/>
              </w:rPr>
              <w:t>’</w:t>
            </w:r>
            <w:r w:rsidRPr="00437FB5">
              <w:rPr>
                <w:b w:val="0"/>
                <w:bCs w:val="0"/>
                <w:sz w:val="24"/>
              </w:rPr>
              <w:t>s not okay. But these kinds of posts are to raise awareness about WOMEN.</w:t>
            </w:r>
          </w:p>
        </w:tc>
      </w:tr>
    </w:tbl>
    <w:p w14:paraId="0A35669A" w14:textId="77777777" w:rsidR="00CD5E7D" w:rsidRDefault="00CD5E7D" w:rsidP="00323C69">
      <w:pPr>
        <w:contextualSpacing/>
        <w:sectPr w:rsidR="00CD5E7D" w:rsidSect="00CD5E7D">
          <w:type w:val="continuous"/>
          <w:pgSz w:w="11900" w:h="16850"/>
          <w:pgMar w:top="1340" w:right="1060" w:bottom="1020" w:left="860" w:header="567" w:footer="824" w:gutter="0"/>
          <w:cols w:space="720"/>
          <w:docGrid w:linePitch="299"/>
        </w:sectPr>
      </w:pPr>
    </w:p>
    <w:p w14:paraId="7EA8D742" w14:textId="77777777" w:rsidR="009E41D4" w:rsidRDefault="009E41D4">
      <w:pPr>
        <w:rPr>
          <w:b/>
          <w:bCs/>
          <w:color w:val="E57200"/>
          <w:sz w:val="32"/>
          <w:szCs w:val="24"/>
        </w:rPr>
      </w:pPr>
      <w:bookmarkStart w:id="73" w:name="_Toc85620733"/>
      <w:bookmarkStart w:id="74" w:name="_Toc87526320"/>
      <w:r>
        <w:br w:type="page"/>
      </w:r>
    </w:p>
    <w:p w14:paraId="5EA1E45E" w14:textId="50FB08AD" w:rsidR="00CD5E7D" w:rsidRPr="00D93763" w:rsidRDefault="00CD5E7D" w:rsidP="00CD5E7D">
      <w:pPr>
        <w:pStyle w:val="Mainbody-subheadings"/>
        <w:spacing w:before="120"/>
      </w:pPr>
      <w:r>
        <w:lastRenderedPageBreak/>
        <w:t>Conclusion</w:t>
      </w:r>
      <w:bookmarkEnd w:id="73"/>
      <w:bookmarkEnd w:id="74"/>
    </w:p>
    <w:p w14:paraId="0EB97413" w14:textId="3A293464" w:rsidR="00CD5E7D" w:rsidRDefault="00CD5E7D" w:rsidP="00CD5E7D">
      <w:r>
        <w:t xml:space="preserve">Resistance and backlash to primary prevention of violence against women approaches and interventions can manifest in various ways. As illustrated in the above discussion, resistance can be based in ignorance or a lack of willingness /refusal to recognise complicity in the gendered norms, practices and structures that sustain the gendered drivers of violence. Resistance can be quite passive, or more deliberate. It can be motivated by a view that changes to the status quo will unfairly reduce some individuals’ and groups’ social, </w:t>
      </w:r>
      <w:proofErr w:type="gramStart"/>
      <w:r>
        <w:t>political</w:t>
      </w:r>
      <w:proofErr w:type="gramEnd"/>
      <w:r>
        <w:t xml:space="preserve"> and economic power, privilege and status. The more passive forms of resistance underpin and reinforce the more deliberate and aggressive forms of backlash. </w:t>
      </w:r>
    </w:p>
    <w:p w14:paraId="59CBBE70" w14:textId="77777777" w:rsidR="00CD5E7D" w:rsidRDefault="00CD5E7D" w:rsidP="00CD5E7D"/>
    <w:p w14:paraId="7BA6A762" w14:textId="48AF1C99" w:rsidR="00CD5E7D" w:rsidRDefault="00CD5E7D" w:rsidP="00CD5E7D"/>
    <w:p w14:paraId="00E8F393" w14:textId="03D507A7" w:rsidR="00927F49" w:rsidRDefault="00927F49" w:rsidP="00CD5E7D"/>
    <w:p w14:paraId="1E933C75" w14:textId="77777777" w:rsidR="00927F49" w:rsidRDefault="00927F49" w:rsidP="00CD5E7D"/>
    <w:p w14:paraId="591B49CE" w14:textId="77777777" w:rsidR="009E41D4" w:rsidRDefault="00CD5E7D" w:rsidP="00CD5E7D">
      <w:r>
        <w:t xml:space="preserve">Resistance happens across the socioecological model and in different settings that are critical to the achievement of primary prevention of violence against women goals. It is inevitable or highly likely in response to change processes that seek to change the gendered status quo. Being able to identify, observe and document how resistance and backlash (as reinforcing factors for violence against women) manifests and changes over time is therefore important as it may help inform strategies to prevent it and/or to respond effectively to it, and thereby contribute to the achievement of prevention goals. </w:t>
      </w:r>
    </w:p>
    <w:p w14:paraId="0D4A5DC0" w14:textId="77777777" w:rsidR="009E41D4" w:rsidRDefault="009E41D4" w:rsidP="00CD5E7D"/>
    <w:p w14:paraId="43705A6E" w14:textId="06EB55E1" w:rsidR="00CD5E7D" w:rsidRPr="00437FB5" w:rsidRDefault="00CD5E7D" w:rsidP="00CD5E7D">
      <w:pPr>
        <w:rPr>
          <w:b/>
          <w:bCs/>
        </w:rPr>
      </w:pPr>
      <w:r>
        <w:t>The next part of this report proposes an approach to monitor resistance, with a focus on institutional and organisational settings.</w:t>
      </w:r>
    </w:p>
    <w:p w14:paraId="125C6A11" w14:textId="3DADCA7B" w:rsidR="00323C69" w:rsidRDefault="00323C69" w:rsidP="00323C69">
      <w:pPr>
        <w:contextualSpacing/>
      </w:pPr>
    </w:p>
    <w:p w14:paraId="4F3DB4CA" w14:textId="77777777" w:rsidR="00CD5E7D" w:rsidRDefault="00CD5E7D" w:rsidP="00323C69">
      <w:pPr>
        <w:contextualSpacing/>
      </w:pPr>
    </w:p>
    <w:p w14:paraId="2AEE818E" w14:textId="422FE811" w:rsidR="008E45A7" w:rsidRDefault="006A40E7" w:rsidP="00C10DAD">
      <w:pPr>
        <w:pStyle w:val="BodyText1"/>
      </w:pPr>
      <w:r w:rsidRPr="007E1B9A">
        <w:t>.</w:t>
      </w:r>
    </w:p>
    <w:p w14:paraId="500DCD37" w14:textId="44A76F12" w:rsidR="00AE52AD" w:rsidRDefault="00AE52AD" w:rsidP="00C10DAD">
      <w:pPr>
        <w:pStyle w:val="BodyText1"/>
        <w:sectPr w:rsidR="00AE52AD" w:rsidSect="00CD5E7D">
          <w:type w:val="continuous"/>
          <w:pgSz w:w="11900" w:h="16850"/>
          <w:pgMar w:top="1340" w:right="1060" w:bottom="1020" w:left="860" w:header="567" w:footer="824" w:gutter="0"/>
          <w:cols w:num="2" w:space="720"/>
          <w:docGrid w:linePitch="299"/>
        </w:sectPr>
      </w:pPr>
    </w:p>
    <w:p w14:paraId="02017241" w14:textId="551CA702" w:rsidR="009D52FB" w:rsidRDefault="009D52FB">
      <w:pPr>
        <w:rPr>
          <w:sz w:val="20"/>
          <w:szCs w:val="20"/>
        </w:rPr>
      </w:pPr>
      <w:r>
        <w:br w:type="page"/>
      </w:r>
    </w:p>
    <w:p w14:paraId="726F6C46" w14:textId="6AE71E64" w:rsidR="00FF1EC0" w:rsidRDefault="008B0438" w:rsidP="008E06F4">
      <w:pPr>
        <w:pStyle w:val="Mainbody-Headings"/>
      </w:pPr>
      <w:bookmarkStart w:id="75" w:name="_Toc85620734"/>
      <w:bookmarkStart w:id="76" w:name="_Toc87526321"/>
      <w:r>
        <w:lastRenderedPageBreak/>
        <w:t>Part 4</w:t>
      </w:r>
      <w:bookmarkStart w:id="77" w:name="_Toc85032910"/>
      <w:r w:rsidR="00CC17BE">
        <w:t xml:space="preserve"> - </w:t>
      </w:r>
      <w:r w:rsidRPr="008B0438">
        <w:t>Monitoring resistance and backlash</w:t>
      </w:r>
      <w:bookmarkEnd w:id="75"/>
      <w:bookmarkEnd w:id="76"/>
      <w:bookmarkEnd w:id="77"/>
    </w:p>
    <w:p w14:paraId="75F20DE9" w14:textId="648FEC06" w:rsidR="009D52FB" w:rsidRDefault="009D52FB" w:rsidP="009D52FB">
      <w:pPr>
        <w:pStyle w:val="Mainbody-text"/>
      </w:pPr>
    </w:p>
    <w:p w14:paraId="484DFEB4" w14:textId="77777777" w:rsidR="00CB40A5" w:rsidRDefault="00CB40A5" w:rsidP="006E1FD3">
      <w:pPr>
        <w:pStyle w:val="BodyText1"/>
        <w:sectPr w:rsidR="00CB40A5" w:rsidSect="008441EC">
          <w:type w:val="continuous"/>
          <w:pgSz w:w="11900" w:h="16850"/>
          <w:pgMar w:top="1340" w:right="1060" w:bottom="1020" w:left="860" w:header="567" w:footer="824" w:gutter="0"/>
          <w:cols w:space="720"/>
          <w:docGrid w:linePitch="299"/>
        </w:sectPr>
      </w:pPr>
    </w:p>
    <w:p w14:paraId="1F8FE589" w14:textId="77777777" w:rsidR="008B0438" w:rsidRPr="00437FB5" w:rsidRDefault="008B0438" w:rsidP="008B0438">
      <w:pPr>
        <w:rPr>
          <w:rFonts w:cstheme="majorHAnsi"/>
        </w:rPr>
      </w:pPr>
      <w:r w:rsidRPr="00437FB5">
        <w:rPr>
          <w:rFonts w:cstheme="minorHAnsi"/>
        </w:rPr>
        <w:t xml:space="preserve">Monitoring resistance and backlash involves </w:t>
      </w:r>
      <w:r>
        <w:rPr>
          <w:rFonts w:cstheme="minorHAnsi"/>
        </w:rPr>
        <w:t xml:space="preserve">identifying, </w:t>
      </w:r>
      <w:proofErr w:type="gramStart"/>
      <w:r>
        <w:rPr>
          <w:rFonts w:cstheme="minorHAnsi"/>
        </w:rPr>
        <w:t>analysing</w:t>
      </w:r>
      <w:proofErr w:type="gramEnd"/>
      <w:r>
        <w:rPr>
          <w:rFonts w:cstheme="minorHAnsi"/>
        </w:rPr>
        <w:t xml:space="preserve"> and documentin</w:t>
      </w:r>
      <w:r w:rsidRPr="00437FB5">
        <w:rPr>
          <w:rFonts w:cstheme="minorHAnsi"/>
        </w:rPr>
        <w:t>g</w:t>
      </w:r>
      <w:r>
        <w:rPr>
          <w:rFonts w:cstheme="minorHAnsi"/>
        </w:rPr>
        <w:t xml:space="preserve"> </w:t>
      </w:r>
      <w:r w:rsidRPr="00437FB5">
        <w:rPr>
          <w:rFonts w:cstheme="minorHAnsi"/>
        </w:rPr>
        <w:t>the various forms of resistance to primary prevention of violence against women (both active and passive, implicit and explicit) and examining the particular dynamics of resistance in a given context. As shown in Part 3, resistance is complex and non-linear, manifesting in discourses, policies, laws, and resourcing and funding processes, as well as being exhibited by individuals and groups. Resistance</w:t>
      </w:r>
      <w:r>
        <w:rPr>
          <w:rFonts w:cstheme="minorHAnsi"/>
        </w:rPr>
        <w:t xml:space="preserve"> to primary prevention</w:t>
      </w:r>
      <w:r w:rsidRPr="00437FB5">
        <w:rPr>
          <w:rFonts w:cstheme="minorHAnsi"/>
        </w:rPr>
        <w:t xml:space="preserve"> in institutions and organisations is shaped by </w:t>
      </w:r>
      <w:r w:rsidRPr="00437FB5">
        <w:rPr>
          <w:rFonts w:cstheme="majorHAnsi"/>
        </w:rPr>
        <w:t xml:space="preserve">dynamic and interconnected internal and external social, </w:t>
      </w:r>
      <w:proofErr w:type="gramStart"/>
      <w:r w:rsidRPr="00437FB5">
        <w:rPr>
          <w:rFonts w:cstheme="majorHAnsi"/>
        </w:rPr>
        <w:t>political</w:t>
      </w:r>
      <w:proofErr w:type="gramEnd"/>
      <w:r w:rsidRPr="00437FB5">
        <w:rPr>
          <w:rFonts w:cstheme="majorHAnsi"/>
        </w:rPr>
        <w:t xml:space="preserve"> and economic factors that create resistance to change and help to maintain the </w:t>
      </w:r>
      <w:r>
        <w:rPr>
          <w:rFonts w:cstheme="majorHAnsi"/>
        </w:rPr>
        <w:t xml:space="preserve">gendered drivers of violence and </w:t>
      </w:r>
      <w:r w:rsidRPr="00437FB5">
        <w:rPr>
          <w:rFonts w:cstheme="majorHAnsi"/>
        </w:rPr>
        <w:t xml:space="preserve">patriarchal status quo. </w:t>
      </w:r>
    </w:p>
    <w:p w14:paraId="6E6583FF" w14:textId="77777777" w:rsidR="008B0438" w:rsidRPr="00437FB5" w:rsidRDefault="008B0438" w:rsidP="008B0438">
      <w:pPr>
        <w:rPr>
          <w:rFonts w:cstheme="minorHAnsi"/>
        </w:rPr>
      </w:pPr>
      <w:r w:rsidRPr="00437FB5">
        <w:rPr>
          <w:rFonts w:cstheme="minorHAnsi"/>
        </w:rPr>
        <w:t xml:space="preserve"> </w:t>
      </w:r>
    </w:p>
    <w:p w14:paraId="4785B590" w14:textId="3A4C6980" w:rsidR="008B0438" w:rsidRDefault="008B0438" w:rsidP="008B0438">
      <w:pPr>
        <w:spacing w:after="120"/>
        <w:rPr>
          <w:rFonts w:cstheme="minorHAnsi"/>
        </w:rPr>
      </w:pPr>
      <w:bookmarkStart w:id="78" w:name="OLE_LINK1"/>
      <w:bookmarkStart w:id="79" w:name="OLE_LINK2"/>
      <w:r w:rsidRPr="00437FB5">
        <w:rPr>
          <w:rFonts w:cstheme="minorHAnsi"/>
        </w:rPr>
        <w:t xml:space="preserve">Monitoring resistance </w:t>
      </w:r>
      <w:r>
        <w:rPr>
          <w:rFonts w:cstheme="minorHAnsi"/>
        </w:rPr>
        <w:t xml:space="preserve">to primary prevention of violence against women </w:t>
      </w:r>
      <w:r w:rsidRPr="00437FB5">
        <w:rPr>
          <w:rFonts w:cstheme="minorHAnsi"/>
        </w:rPr>
        <w:t>is an important part of</w:t>
      </w:r>
      <w:r>
        <w:rPr>
          <w:rFonts w:cstheme="minorHAnsi"/>
        </w:rPr>
        <w:t xml:space="preserve"> </w:t>
      </w:r>
      <w:r w:rsidRPr="00437FB5">
        <w:rPr>
          <w:rFonts w:cstheme="minorHAnsi"/>
        </w:rPr>
        <w:t>change process</w:t>
      </w:r>
      <w:r>
        <w:rPr>
          <w:rFonts w:cstheme="minorHAnsi"/>
        </w:rPr>
        <w:t xml:space="preserve">es that can indicate progress and barriers to the achievement of violence prevention. Monitoring institutional and organisational resistance to primary prevention of violence against women applies to a range of interventions that could have: </w:t>
      </w:r>
    </w:p>
    <w:p w14:paraId="6F932CC0" w14:textId="6B5B4B45" w:rsidR="008B0438" w:rsidRPr="008B0438" w:rsidRDefault="008B0438" w:rsidP="00B01F9C">
      <w:pPr>
        <w:pStyle w:val="ListParagraph"/>
        <w:widowControl/>
        <w:numPr>
          <w:ilvl w:val="0"/>
          <w:numId w:val="19"/>
        </w:numPr>
        <w:autoSpaceDE/>
        <w:autoSpaceDN/>
        <w:spacing w:before="0" w:after="120"/>
      </w:pPr>
      <w:r w:rsidRPr="008B0438">
        <w:t xml:space="preserve">Identified individual and collective stakeholders which are affected by </w:t>
      </w:r>
      <w:r w:rsidR="00D279C9">
        <w:t xml:space="preserve">a </w:t>
      </w:r>
      <w:r w:rsidRPr="008B0438">
        <w:t xml:space="preserve">primary prevention of violence against women intervention, </w:t>
      </w:r>
      <w:proofErr w:type="gramStart"/>
      <w:r w:rsidRPr="008B0438">
        <w:t>initiative</w:t>
      </w:r>
      <w:proofErr w:type="gramEnd"/>
      <w:r w:rsidRPr="008B0438">
        <w:t xml:space="preserve"> or program.</w:t>
      </w:r>
    </w:p>
    <w:p w14:paraId="7C28C0FA" w14:textId="77777777" w:rsidR="008B0438" w:rsidRPr="008B0438" w:rsidRDefault="008B0438" w:rsidP="00B01F9C">
      <w:pPr>
        <w:pStyle w:val="ListParagraph"/>
        <w:widowControl/>
        <w:numPr>
          <w:ilvl w:val="0"/>
          <w:numId w:val="19"/>
        </w:numPr>
        <w:autoSpaceDE/>
        <w:autoSpaceDN/>
        <w:spacing w:before="0" w:after="120"/>
      </w:pPr>
      <w:r w:rsidRPr="008B0438">
        <w:t>Institutional and organisational architecture such as laws, policies and practices that relate to primary prevention of violence against women.</w:t>
      </w:r>
    </w:p>
    <w:p w14:paraId="42802125" w14:textId="77777777" w:rsidR="008B0438" w:rsidRDefault="008B0438" w:rsidP="00B01F9C">
      <w:pPr>
        <w:pStyle w:val="ListParagraph"/>
        <w:widowControl/>
        <w:numPr>
          <w:ilvl w:val="0"/>
          <w:numId w:val="19"/>
        </w:numPr>
        <w:autoSpaceDE/>
        <w:autoSpaceDN/>
        <w:spacing w:before="0" w:after="120"/>
        <w:rPr>
          <w:rFonts w:cstheme="minorHAnsi"/>
        </w:rPr>
      </w:pPr>
      <w:r w:rsidRPr="008B0438">
        <w:t>Available data and knowledge of gender, the drivers of violence against women and resistance and backlash to support analysis.</w:t>
      </w:r>
      <w:r w:rsidRPr="009216D2">
        <w:rPr>
          <w:rFonts w:cstheme="minorHAnsi"/>
        </w:rPr>
        <w:t xml:space="preserve"> </w:t>
      </w:r>
    </w:p>
    <w:p w14:paraId="488458B0" w14:textId="77777777" w:rsidR="008B0438" w:rsidRDefault="008B0438" w:rsidP="008B0438">
      <w:pPr>
        <w:pStyle w:val="ListParagraph"/>
        <w:rPr>
          <w:rFonts w:cstheme="minorHAnsi"/>
        </w:rPr>
      </w:pPr>
    </w:p>
    <w:p w14:paraId="7DF39F48" w14:textId="77777777" w:rsidR="00625C97" w:rsidRDefault="008B0438" w:rsidP="008B0438">
      <w:r>
        <w:t xml:space="preserve">The approach to monitoring outlined in this section can </w:t>
      </w:r>
      <w:r w:rsidRPr="0DFFA2B3">
        <w:t>be used in</w:t>
      </w:r>
      <w:r>
        <w:t xml:space="preserve"> a range of contexts, including for example</w:t>
      </w:r>
      <w:r w:rsidR="00625C97">
        <w:t>:</w:t>
      </w:r>
    </w:p>
    <w:p w14:paraId="63E535AE" w14:textId="4C257594" w:rsidR="00625C97" w:rsidRDefault="008B0438" w:rsidP="00C4511B">
      <w:pPr>
        <w:pStyle w:val="ListParagraph"/>
        <w:numPr>
          <w:ilvl w:val="0"/>
          <w:numId w:val="44"/>
        </w:numPr>
      </w:pPr>
      <w:r w:rsidRPr="00C4511B">
        <w:rPr>
          <w:i/>
          <w:iCs/>
        </w:rPr>
        <w:t>Workplace, Equality and Respect</w:t>
      </w:r>
      <w:r w:rsidRPr="0DFFA2B3">
        <w:t xml:space="preserve"> processes </w:t>
      </w:r>
    </w:p>
    <w:p w14:paraId="74191C21" w14:textId="1568DC5B" w:rsidR="00625C97" w:rsidRDefault="008B0438" w:rsidP="00C4511B">
      <w:pPr>
        <w:pStyle w:val="ListParagraph"/>
        <w:numPr>
          <w:ilvl w:val="0"/>
          <w:numId w:val="44"/>
        </w:numPr>
      </w:pPr>
      <w:r w:rsidRPr="0DFFA2B3">
        <w:t xml:space="preserve">respectful relationships education and engaging young people in education settings </w:t>
      </w:r>
    </w:p>
    <w:p w14:paraId="1D68C739" w14:textId="3A00B5E6" w:rsidR="00625C97" w:rsidRDefault="008B0438" w:rsidP="00C4511B">
      <w:pPr>
        <w:pStyle w:val="ListParagraph"/>
        <w:numPr>
          <w:ilvl w:val="0"/>
          <w:numId w:val="44"/>
        </w:numPr>
      </w:pPr>
      <w:r w:rsidRPr="0DFFA2B3">
        <w:t xml:space="preserve">media reporting of violence against women </w:t>
      </w:r>
    </w:p>
    <w:p w14:paraId="51A15AA9" w14:textId="62CAE966" w:rsidR="00625C97" w:rsidRDefault="008B0438" w:rsidP="00C4511B">
      <w:pPr>
        <w:pStyle w:val="ListParagraph"/>
        <w:numPr>
          <w:ilvl w:val="0"/>
          <w:numId w:val="44"/>
        </w:numPr>
      </w:pPr>
      <w:r w:rsidRPr="0DFFA2B3">
        <w:t xml:space="preserve">advertisement campaigns challenging the gendered drivers. </w:t>
      </w:r>
    </w:p>
    <w:p w14:paraId="02647436" w14:textId="77777777" w:rsidR="00625C97" w:rsidRDefault="00625C97" w:rsidP="008B0438"/>
    <w:p w14:paraId="184B4662" w14:textId="361FF0C5" w:rsidR="008B0438" w:rsidRPr="001C7855" w:rsidRDefault="008B0438" w:rsidP="008B0438">
      <w:r w:rsidRPr="0DFFA2B3" w:rsidDel="001D69ED">
        <w:t xml:space="preserve">By identifying when, </w:t>
      </w:r>
      <w:proofErr w:type="gramStart"/>
      <w:r w:rsidRPr="0DFFA2B3" w:rsidDel="001D69ED">
        <w:t>where</w:t>
      </w:r>
      <w:proofErr w:type="gramEnd"/>
      <w:r w:rsidRPr="0DFFA2B3" w:rsidDel="001D69ED">
        <w:t xml:space="preserve"> and how resistance is occurring, primary prevention changemakers can begin to understand why resistance is occurring and how they might respond to and counter this resistance. </w:t>
      </w:r>
      <w:r w:rsidRPr="000B2DCA" w:rsidDel="001D69ED">
        <w:t xml:space="preserve">The monitoring process can involve reflection on what changes have been achieved and what is blocking further </w:t>
      </w:r>
      <w:r w:rsidR="00B5174A" w:rsidRPr="000B2DCA" w:rsidDel="001D69ED">
        <w:t>change and</w:t>
      </w:r>
      <w:r w:rsidRPr="000B2DCA" w:rsidDel="001D69ED">
        <w:t xml:space="preserve"> can help inform discussion of the potential improvements that can be made to a change strategy to overcome such resistance to primary prevention.</w:t>
      </w:r>
    </w:p>
    <w:p w14:paraId="1AD7ED67" w14:textId="77777777" w:rsidR="008B0438" w:rsidRDefault="008B0438" w:rsidP="008B0438"/>
    <w:p w14:paraId="68BB4D0D" w14:textId="5A1721BF" w:rsidR="008B0438" w:rsidRPr="000B2DCA" w:rsidRDefault="008B0438" w:rsidP="008B0438">
      <w:pPr>
        <w:rPr>
          <w:rFonts w:cstheme="minorHAnsi"/>
        </w:rPr>
      </w:pPr>
      <w:r>
        <w:t xml:space="preserve">This monitoring approach </w:t>
      </w:r>
      <w:r w:rsidRPr="001C7855">
        <w:t xml:space="preserve">is </w:t>
      </w:r>
      <w:r w:rsidRPr="00F0202D">
        <w:t>iterative</w:t>
      </w:r>
      <w:r w:rsidRPr="00E04778">
        <w:t xml:space="preserve"> in nature</w:t>
      </w:r>
      <w:r w:rsidRPr="00661AF1">
        <w:t xml:space="preserve"> and </w:t>
      </w:r>
      <w:r w:rsidRPr="002E2690">
        <w:t xml:space="preserve">should </w:t>
      </w:r>
      <w:r w:rsidRPr="00A663E5">
        <w:t>be returned</w:t>
      </w:r>
      <w:r w:rsidR="00803BF0">
        <w:t xml:space="preserve"> to</w:t>
      </w:r>
      <w:r w:rsidRPr="00A663E5">
        <w:t xml:space="preserve"> </w:t>
      </w:r>
      <w:r>
        <w:t>throughout a</w:t>
      </w:r>
      <w:r w:rsidRPr="001C7855">
        <w:t xml:space="preserve"> primary preventi</w:t>
      </w:r>
      <w:r w:rsidRPr="00F0202D">
        <w:t>on initiative</w:t>
      </w:r>
      <w:r w:rsidRPr="00E04778">
        <w:t xml:space="preserve"> (</w:t>
      </w:r>
      <w:r w:rsidRPr="00661AF1">
        <w:t xml:space="preserve">planning, </w:t>
      </w:r>
      <w:proofErr w:type="gramStart"/>
      <w:r w:rsidRPr="00661AF1">
        <w:t>implementation</w:t>
      </w:r>
      <w:proofErr w:type="gramEnd"/>
      <w:r w:rsidRPr="00661AF1">
        <w:t xml:space="preserve"> and evaluation</w:t>
      </w:r>
      <w:r w:rsidRPr="002E2690">
        <w:t xml:space="preserve">) to understand </w:t>
      </w:r>
      <w:r w:rsidRPr="00A663E5">
        <w:t>whet</w:t>
      </w:r>
      <w:r w:rsidRPr="00020239">
        <w:t>her re</w:t>
      </w:r>
      <w:r w:rsidRPr="008A1199">
        <w:t>sistance has been appropriately countered and whether new forms have emerged.</w:t>
      </w:r>
      <w:r>
        <w:t xml:space="preserve"> By a</w:t>
      </w:r>
      <w:r>
        <w:rPr>
          <w:rFonts w:cstheme="minorHAnsi"/>
        </w:rPr>
        <w:t>ctively</w:t>
      </w:r>
      <w:r w:rsidRPr="000B2DCA">
        <w:rPr>
          <w:rFonts w:cstheme="minorHAnsi"/>
        </w:rPr>
        <w:t xml:space="preserve"> </w:t>
      </w:r>
      <w:r>
        <w:rPr>
          <w:rFonts w:cstheme="minorHAnsi"/>
        </w:rPr>
        <w:t xml:space="preserve">looking for </w:t>
      </w:r>
      <w:r w:rsidRPr="000B2DCA">
        <w:rPr>
          <w:rFonts w:cstheme="minorHAnsi"/>
        </w:rPr>
        <w:t xml:space="preserve">resistance and integrating the </w:t>
      </w:r>
      <w:r w:rsidRPr="000B2DCA">
        <w:rPr>
          <w:rFonts w:cstheme="minorHAnsi"/>
        </w:rPr>
        <w:lastRenderedPageBreak/>
        <w:t>monitoring of it into planning, there is the opportunity to understand (1) what pockets of resistance already exist and use strategies to address and minimise it, and (2) what to look out for in the later stages of the initiative.</w:t>
      </w:r>
      <w:r>
        <w:rPr>
          <w:rFonts w:cstheme="minorHAnsi"/>
        </w:rPr>
        <w:t xml:space="preserve"> </w:t>
      </w:r>
    </w:p>
    <w:bookmarkEnd w:id="78"/>
    <w:bookmarkEnd w:id="79"/>
    <w:p w14:paraId="7487D43F" w14:textId="77777777" w:rsidR="008B0438" w:rsidRPr="00437FB5" w:rsidRDefault="008B0438" w:rsidP="008B0438">
      <w:pPr>
        <w:rPr>
          <w:rFonts w:cstheme="minorHAnsi"/>
        </w:rPr>
      </w:pPr>
    </w:p>
    <w:p w14:paraId="19E65DA4" w14:textId="77777777" w:rsidR="008B0438" w:rsidRPr="00437FB5" w:rsidRDefault="008B0438" w:rsidP="008B0438">
      <w:r w:rsidRPr="00437FB5">
        <w:rPr>
          <w:rFonts w:cstheme="minorHAnsi"/>
        </w:rPr>
        <w:t>This part of the report provides a suggested approach to monitoring resistance, with a focus on the institutional and organisational level. It draws from systems approaches to social change to try and account for the inherently complex and crosscutting nature of primary prevention of violence against women change efforts and interventions.</w:t>
      </w:r>
      <w:r w:rsidRPr="00437FB5">
        <w:t xml:space="preserve"> </w:t>
      </w:r>
    </w:p>
    <w:p w14:paraId="68453722" w14:textId="2508233D" w:rsidR="005428AE" w:rsidRDefault="008B0438" w:rsidP="005428AE">
      <w:pPr>
        <w:pStyle w:val="Mainbody-subheadings"/>
      </w:pPr>
      <w:bookmarkStart w:id="80" w:name="_Toc85620735"/>
      <w:bookmarkStart w:id="81" w:name="_Toc87526322"/>
      <w:r>
        <w:t>A Spectrum of Change</w:t>
      </w:r>
      <w:bookmarkEnd w:id="80"/>
      <w:bookmarkEnd w:id="81"/>
    </w:p>
    <w:p w14:paraId="227634D0" w14:textId="77777777" w:rsidR="00073F00" w:rsidRDefault="008B0438" w:rsidP="008B0438">
      <w:r w:rsidRPr="00437FB5">
        <w:t xml:space="preserve">Different organisations and institutions are going to resist in different ways depending on ‘where they are at’ in </w:t>
      </w:r>
      <w:r w:rsidRPr="5FFC9A65">
        <w:t>terms of</w:t>
      </w:r>
      <w:r w:rsidRPr="00437FB5">
        <w:t xml:space="preserve"> addressing the gendered drivers of violence against women: from </w:t>
      </w:r>
      <w:r>
        <w:t xml:space="preserve">those that have </w:t>
      </w:r>
      <w:r w:rsidRPr="00437FB5">
        <w:t xml:space="preserve">no strategies, to </w:t>
      </w:r>
      <w:r>
        <w:t xml:space="preserve">those demonstrating </w:t>
      </w:r>
      <w:r w:rsidRPr="00437FB5">
        <w:t xml:space="preserve">basic compliance and less effective </w:t>
      </w:r>
      <w:r>
        <w:t>approaches</w:t>
      </w:r>
      <w:r w:rsidRPr="00437FB5">
        <w:t xml:space="preserve">, to </w:t>
      </w:r>
      <w:r>
        <w:t>those that are adopting</w:t>
      </w:r>
      <w:r w:rsidRPr="00437FB5">
        <w:t xml:space="preserve"> </w:t>
      </w:r>
      <w:r>
        <w:t>gender transformative approaches</w:t>
      </w:r>
      <w:r w:rsidRPr="00437FB5">
        <w:t xml:space="preserve">. Viewing institutions only as ‘male-dominated’ and ‘female dominated’ and predicting levels of resistance on this basis </w:t>
      </w:r>
      <w:r>
        <w:t xml:space="preserve">is too simplistic and </w:t>
      </w:r>
      <w:r w:rsidRPr="00437FB5">
        <w:t xml:space="preserve">could reproduce essentialist understandings of institutional responses to gender inequality. </w:t>
      </w:r>
    </w:p>
    <w:p w14:paraId="1D1A1EFF" w14:textId="77777777" w:rsidR="00073F00" w:rsidRDefault="00073F00" w:rsidP="008B0438"/>
    <w:p w14:paraId="10696966" w14:textId="77777777" w:rsidR="00073F00" w:rsidRDefault="008B0438" w:rsidP="008B0438">
      <w:r w:rsidRPr="00437FB5">
        <w:t xml:space="preserve">Rather, it may be beneficial to think about institutions and organisations along a continuum of change and resistance (Fig. </w:t>
      </w:r>
      <w:r>
        <w:t>4</w:t>
      </w:r>
      <w:r w:rsidRPr="00437FB5">
        <w:t>). Approaching institutions and organisations in this way accounts for the contextual nature of resistance as well as appreciating the diverse journeys institutions and organisations undertake towards achieving gender equality.</w:t>
      </w:r>
    </w:p>
    <w:p w14:paraId="0CEA51FF" w14:textId="36FD226E" w:rsidR="008B0438" w:rsidRDefault="008B0438" w:rsidP="008B0438"/>
    <w:p w14:paraId="00F1CB1B" w14:textId="77777777" w:rsidR="008B0438" w:rsidRPr="00914BB8" w:rsidRDefault="008B0438" w:rsidP="008B0438">
      <w:pPr>
        <w:pStyle w:val="IntenseQuote"/>
        <w:rPr>
          <w:sz w:val="24"/>
        </w:rPr>
      </w:pPr>
      <w:r>
        <w:rPr>
          <w:sz w:val="24"/>
          <w:lang w:eastAsia="en-GB"/>
        </w:rPr>
        <w:t>[</w:t>
      </w:r>
      <w:proofErr w:type="spellStart"/>
      <w:r w:rsidRPr="00914BB8">
        <w:rPr>
          <w:sz w:val="24"/>
          <w:lang w:eastAsia="en-GB"/>
        </w:rPr>
        <w:t>i</w:t>
      </w:r>
      <w:proofErr w:type="spellEnd"/>
      <w:r>
        <w:rPr>
          <w:sz w:val="24"/>
          <w:lang w:eastAsia="en-GB"/>
        </w:rPr>
        <w:t>]</w:t>
      </w:r>
      <w:r w:rsidRPr="00914BB8">
        <w:rPr>
          <w:sz w:val="24"/>
          <w:lang w:eastAsia="en-GB"/>
        </w:rPr>
        <w:t xml:space="preserve">t is no longer a question of what to do </w:t>
      </w:r>
      <w:r w:rsidRPr="00914BB8">
        <w:rPr>
          <w:rFonts w:ascii="AdvOT5843c571+20" w:hAnsi="AdvOT5843c571+20"/>
          <w:sz w:val="24"/>
          <w:lang w:eastAsia="en-GB"/>
        </w:rPr>
        <w:t>“</w:t>
      </w:r>
      <w:r w:rsidRPr="00914BB8">
        <w:rPr>
          <w:sz w:val="24"/>
          <w:lang w:eastAsia="en-GB"/>
        </w:rPr>
        <w:t>if</w:t>
      </w:r>
      <w:r w:rsidRPr="00914BB8">
        <w:rPr>
          <w:rFonts w:ascii="AdvOT5843c571+20" w:hAnsi="AdvOT5843c571+20"/>
          <w:sz w:val="24"/>
          <w:lang w:eastAsia="en-GB"/>
        </w:rPr>
        <w:t xml:space="preserve">” </w:t>
      </w:r>
      <w:r w:rsidRPr="00914BB8">
        <w:rPr>
          <w:sz w:val="24"/>
          <w:lang w:eastAsia="en-GB"/>
        </w:rPr>
        <w:t xml:space="preserve">resistance occurs but rather how we </w:t>
      </w:r>
      <w:r w:rsidRPr="00914BB8">
        <w:rPr>
          <w:sz w:val="24"/>
          <w:lang w:eastAsia="en-GB"/>
        </w:rPr>
        <w:t xml:space="preserve">prepare ourselves to be intentional and mindful with our responses </w:t>
      </w:r>
      <w:r w:rsidRPr="00914BB8">
        <w:rPr>
          <w:rFonts w:ascii="AdvOT5843c571+20" w:hAnsi="AdvOT5843c571+20"/>
          <w:sz w:val="24"/>
          <w:lang w:eastAsia="en-GB"/>
        </w:rPr>
        <w:t>“</w:t>
      </w:r>
      <w:r w:rsidRPr="00914BB8">
        <w:rPr>
          <w:sz w:val="24"/>
          <w:lang w:eastAsia="en-GB"/>
        </w:rPr>
        <w:t>when</w:t>
      </w:r>
      <w:r w:rsidRPr="00914BB8">
        <w:rPr>
          <w:rFonts w:ascii="AdvOT5843c571+20" w:hAnsi="AdvOT5843c571+20"/>
          <w:sz w:val="24"/>
          <w:lang w:eastAsia="en-GB"/>
        </w:rPr>
        <w:t xml:space="preserve">” </w:t>
      </w:r>
      <w:r w:rsidRPr="00914BB8">
        <w:rPr>
          <w:sz w:val="24"/>
          <w:lang w:eastAsia="en-GB"/>
        </w:rPr>
        <w:t>it happens. We have found that signi</w:t>
      </w:r>
      <w:r w:rsidRPr="00914BB8">
        <w:rPr>
          <w:rFonts w:ascii="AdvOT5843c571+fb" w:hAnsi="AdvOT5843c571+fb"/>
          <w:sz w:val="24"/>
          <w:lang w:eastAsia="en-GB"/>
        </w:rPr>
        <w:t>fi</w:t>
      </w:r>
      <w:r w:rsidRPr="00914BB8">
        <w:rPr>
          <w:sz w:val="24"/>
          <w:lang w:eastAsia="en-GB"/>
        </w:rPr>
        <w:t>cant change invariably involves generating resistance and that its absence often indicates that only incremental or minimal real change is happening in the organization. (Gallegos et al., 2020, p.166)</w:t>
      </w:r>
    </w:p>
    <w:p w14:paraId="4A73DB65" w14:textId="71316387" w:rsidR="008B0438" w:rsidRDefault="008B0438" w:rsidP="008B0438">
      <w:pPr>
        <w:rPr>
          <w:rFonts w:cstheme="minorHAnsi"/>
        </w:rPr>
      </w:pPr>
      <w:r>
        <w:rPr>
          <w:rFonts w:cstheme="minorHAnsi"/>
        </w:rPr>
        <w:t>R</w:t>
      </w:r>
      <w:r w:rsidRPr="00437FB5">
        <w:rPr>
          <w:rFonts w:cstheme="minorHAnsi"/>
        </w:rPr>
        <w:t xml:space="preserve">esistance can only be monitored in relation to something. If there is no specific change initiative in place (such as a </w:t>
      </w:r>
      <w:r>
        <w:rPr>
          <w:rFonts w:cstheme="minorHAnsi"/>
        </w:rPr>
        <w:t xml:space="preserve">primary prevention </w:t>
      </w:r>
      <w:r w:rsidRPr="00437FB5">
        <w:rPr>
          <w:rFonts w:cstheme="minorHAnsi"/>
        </w:rPr>
        <w:t>program or a policy, legal or external infrastructure that aims to achieve institutional and organisational change), it can be considered the continuation of the status quo. Given the development of Federal, state</w:t>
      </w:r>
      <w:r w:rsidR="00625C97">
        <w:rPr>
          <w:rFonts w:cstheme="minorHAnsi"/>
        </w:rPr>
        <w:t xml:space="preserve"> and territory</w:t>
      </w:r>
      <w:r w:rsidRPr="00437FB5">
        <w:rPr>
          <w:rFonts w:cstheme="minorHAnsi"/>
        </w:rPr>
        <w:t xml:space="preserve"> and sector-specific legislation and policy frameworks for gender equality and primary prevention in Australia, most institutions and organisations have obligations to varying degrees to implement some measure of prevention of violence against women initiatives and associated gender equality commitments. </w:t>
      </w:r>
    </w:p>
    <w:p w14:paraId="7E14B52E" w14:textId="77777777" w:rsidR="008B0438" w:rsidRDefault="008B0438" w:rsidP="008B0438">
      <w:pPr>
        <w:rPr>
          <w:rFonts w:cstheme="minorHAnsi"/>
        </w:rPr>
      </w:pPr>
    </w:p>
    <w:p w14:paraId="72BB8F4F" w14:textId="59B489BB" w:rsidR="008B0438" w:rsidRPr="00437FB5" w:rsidRDefault="008B0438" w:rsidP="008B0438">
      <w:pPr>
        <w:rPr>
          <w:rFonts w:cstheme="minorHAnsi"/>
        </w:rPr>
      </w:pPr>
      <w:r w:rsidRPr="00437FB5">
        <w:rPr>
          <w:rFonts w:cstheme="minorHAnsi"/>
        </w:rPr>
        <w:t xml:space="preserve">Therefore, monitoring resistance and backlash involves not only identifying explicit actions that seek to block change, but also looking for absences and silences in organisational operationalisation of such institutional architecture for change. At the same time, care must be taken not to alienate late adopters to primary prevention; but rather, to identify where more could be done and provide suggestions for how change could be accelerated. </w:t>
      </w:r>
      <w:r w:rsidRPr="00437FB5">
        <w:t xml:space="preserve">Strategies to respond to resistance and backlash need to address its various and intersecting sites and manifestations (discussed in Part 5), as well as understanding the context of where the resistance is coming from.  </w:t>
      </w:r>
    </w:p>
    <w:p w14:paraId="1BE1E768" w14:textId="44775381" w:rsidR="008B0438" w:rsidRDefault="008B0438" w:rsidP="008B0438"/>
    <w:p w14:paraId="53D9F35F" w14:textId="01DDC758" w:rsidR="00073F00" w:rsidRDefault="00625C97" w:rsidP="00073F00">
      <w:r>
        <w:t>L</w:t>
      </w:r>
      <w:r w:rsidR="00073F00" w:rsidRPr="00437FB5">
        <w:t xml:space="preserve">iterature and research on resistance and </w:t>
      </w:r>
      <w:r w:rsidR="00073F00" w:rsidRPr="00437FB5">
        <w:lastRenderedPageBreak/>
        <w:t>backlash</w:t>
      </w:r>
      <w:r>
        <w:t xml:space="preserve"> indicates</w:t>
      </w:r>
      <w:r w:rsidR="00073F00" w:rsidRPr="00437FB5">
        <w:t xml:space="preserve"> that gender ‘neutral’ terms such as merit, numerical representation, pay equity and so on can serve to re-entrench the more invisible and informal gendered institutions – that is, the formal and informal structures, norms and practices that sustain gender inequality. It is important to capture the entire institutional and organisational picture, considering the formal achievements like policies, </w:t>
      </w:r>
      <w:proofErr w:type="gramStart"/>
      <w:r w:rsidR="00073F00" w:rsidRPr="00437FB5">
        <w:t>frameworks</w:t>
      </w:r>
      <w:proofErr w:type="gramEnd"/>
      <w:r w:rsidR="00073F00" w:rsidRPr="00437FB5">
        <w:t xml:space="preserve"> and laws, but also the informal blockages to implementation, such as discriminatory cultures or exclusive informal decision-making. </w:t>
      </w:r>
      <w:r>
        <w:t>W</w:t>
      </w:r>
      <w:r w:rsidR="00073F00" w:rsidRPr="00437FB5">
        <w:t>here institutions and organisations are at</w:t>
      </w:r>
      <w:r>
        <w:t xml:space="preserve"> can be approached</w:t>
      </w:r>
      <w:r w:rsidR="00073F00" w:rsidRPr="00437FB5">
        <w:t xml:space="preserve"> in terms of a spectrum</w:t>
      </w:r>
      <w:r>
        <w:t xml:space="preserve"> of change</w:t>
      </w:r>
      <w:r w:rsidR="00073F00" w:rsidRPr="00437FB5">
        <w:t xml:space="preserve">. </w:t>
      </w:r>
    </w:p>
    <w:p w14:paraId="05FE08E3" w14:textId="77777777" w:rsidR="00073F00" w:rsidRDefault="00073F00" w:rsidP="00073F00"/>
    <w:p w14:paraId="360BE840" w14:textId="07DF8467" w:rsidR="009215F5" w:rsidRDefault="00073F00" w:rsidP="00073F00">
      <w:pPr>
        <w:sectPr w:rsidR="009215F5" w:rsidSect="008B0438">
          <w:type w:val="continuous"/>
          <w:pgSz w:w="11900" w:h="16850"/>
          <w:pgMar w:top="1340" w:right="1060" w:bottom="1020" w:left="860" w:header="567" w:footer="824" w:gutter="0"/>
          <w:cols w:num="2" w:space="720"/>
          <w:docGrid w:linePitch="299"/>
        </w:sectPr>
      </w:pPr>
      <w:r w:rsidRPr="00437FB5">
        <w:t xml:space="preserve">For example, one organisation may be doing the bare minimum whereas another may be actively seeking transformational change. We can also consider what drives change and what has caused an organisation to reach a tipping point and recognise the need for cultural change to achieve gender equal norms, </w:t>
      </w:r>
      <w:proofErr w:type="gramStart"/>
      <w:r w:rsidRPr="00437FB5">
        <w:t>practices</w:t>
      </w:r>
      <w:proofErr w:type="gramEnd"/>
      <w:r w:rsidRPr="00437FB5">
        <w:t xml:space="preserve"> and structures. This might be for example, a review of sexual harassment in an industry/workplace, a cultural reckoning in terms of attitudes </w:t>
      </w:r>
      <w:r w:rsidR="009F7379">
        <w:t>and behaviours</w:t>
      </w:r>
      <w:r w:rsidR="00625C97">
        <w:t xml:space="preserve"> towards </w:t>
      </w:r>
      <w:r w:rsidRPr="00437FB5">
        <w:t xml:space="preserve">women, or the introduction of </w:t>
      </w:r>
      <w:r w:rsidR="00625C97">
        <w:t xml:space="preserve">legislation such as the Victorian </w:t>
      </w:r>
      <w:r w:rsidRPr="00C4511B">
        <w:rPr>
          <w:i/>
          <w:iCs/>
        </w:rPr>
        <w:t>Gender Equality Act</w:t>
      </w:r>
      <w:r w:rsidR="00625C97">
        <w:t xml:space="preserve"> </w:t>
      </w:r>
      <w:r w:rsidR="00625C97" w:rsidRPr="00AA1CC1">
        <w:t>(20</w:t>
      </w:r>
      <w:r w:rsidR="00AA1CC1" w:rsidRPr="00AA1CC1">
        <w:t>2</w:t>
      </w:r>
      <w:r w:rsidR="00625C97" w:rsidRPr="00AF328D">
        <w:t>0)</w:t>
      </w:r>
      <w:r w:rsidR="00D83867">
        <w:t xml:space="preserve"> (Vic)</w:t>
      </w:r>
      <w:r w:rsidR="00803BF0">
        <w:t>.</w:t>
      </w:r>
    </w:p>
    <w:p w14:paraId="148705F4" w14:textId="70004B20" w:rsidR="00B5174A" w:rsidRPr="009215F5" w:rsidRDefault="00B5174A" w:rsidP="00C4511B">
      <w:pPr>
        <w:pStyle w:val="Caption"/>
        <w:spacing w:before="0" w:after="120"/>
        <w:rPr>
          <w:color w:val="F79646" w:themeColor="accent6"/>
          <w:sz w:val="22"/>
          <w:szCs w:val="22"/>
        </w:rPr>
      </w:pPr>
      <w:bookmarkStart w:id="82" w:name="_Toc94771646"/>
      <w:r w:rsidRPr="009215F5">
        <w:rPr>
          <w:color w:val="F79646" w:themeColor="accent6"/>
          <w:sz w:val="22"/>
          <w:szCs w:val="22"/>
        </w:rPr>
        <w:t xml:space="preserve">Figure </w:t>
      </w:r>
      <w:r w:rsidRPr="009215F5">
        <w:rPr>
          <w:color w:val="F79646" w:themeColor="accent6"/>
          <w:sz w:val="22"/>
          <w:szCs w:val="22"/>
          <w:shd w:val="clear" w:color="auto" w:fill="E6E6E6"/>
        </w:rPr>
        <w:fldChar w:fldCharType="begin"/>
      </w:r>
      <w:r w:rsidRPr="009215F5">
        <w:rPr>
          <w:color w:val="F79646" w:themeColor="accent6"/>
          <w:sz w:val="22"/>
          <w:szCs w:val="22"/>
        </w:rPr>
        <w:instrText xml:space="preserve"> SEQ Figure \* ARABIC </w:instrText>
      </w:r>
      <w:r w:rsidRPr="009215F5">
        <w:rPr>
          <w:color w:val="F79646" w:themeColor="accent6"/>
          <w:sz w:val="22"/>
          <w:szCs w:val="22"/>
          <w:shd w:val="clear" w:color="auto" w:fill="E6E6E6"/>
        </w:rPr>
        <w:fldChar w:fldCharType="separate"/>
      </w:r>
      <w:r w:rsidR="00D93EBF">
        <w:rPr>
          <w:noProof/>
          <w:color w:val="F79646" w:themeColor="accent6"/>
          <w:sz w:val="22"/>
          <w:szCs w:val="22"/>
        </w:rPr>
        <w:t>3</w:t>
      </w:r>
      <w:r w:rsidRPr="009215F5">
        <w:rPr>
          <w:color w:val="F79646" w:themeColor="accent6"/>
          <w:sz w:val="22"/>
          <w:szCs w:val="22"/>
          <w:shd w:val="clear" w:color="auto" w:fill="E6E6E6"/>
        </w:rPr>
        <w:fldChar w:fldCharType="end"/>
      </w:r>
      <w:r w:rsidRPr="009215F5">
        <w:rPr>
          <w:color w:val="F79646" w:themeColor="accent6"/>
          <w:sz w:val="22"/>
          <w:szCs w:val="22"/>
        </w:rPr>
        <w:t>. Spectrum of approaches</w:t>
      </w:r>
      <w:bookmarkEnd w:id="82"/>
    </w:p>
    <w:p w14:paraId="09D6E7CB" w14:textId="62725A06" w:rsidR="00B5174A" w:rsidRPr="00437FB5" w:rsidRDefault="00625C97" w:rsidP="009215F5">
      <w:r w:rsidRPr="00437FB5">
        <w:rPr>
          <w:noProof/>
          <w:color w:val="2B579A"/>
          <w:shd w:val="clear" w:color="auto" w:fill="E6E6E6"/>
        </w:rPr>
        <w:drawing>
          <wp:inline distT="0" distB="0" distL="0" distR="0" wp14:anchorId="57F47098" wp14:editId="228871E2">
            <wp:extent cx="6337300" cy="4681733"/>
            <wp:effectExtent l="0" t="0" r="0" b="4051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1E5014F" w14:textId="696FF050" w:rsidR="009215F5" w:rsidRDefault="009215F5" w:rsidP="00073F00"/>
    <w:p w14:paraId="06632B3F" w14:textId="257EBEDE" w:rsidR="009215F5" w:rsidRDefault="009215F5" w:rsidP="00073F00"/>
    <w:p w14:paraId="54030DE3" w14:textId="77777777" w:rsidR="005428AE" w:rsidRPr="005428AE" w:rsidRDefault="005428AE" w:rsidP="005428AE">
      <w:pPr>
        <w:pStyle w:val="Mainbody-text"/>
        <w:rPr>
          <w:bCs/>
          <w:lang w:bidi="en-US"/>
        </w:rPr>
      </w:pPr>
    </w:p>
    <w:p w14:paraId="00A7FF60" w14:textId="77777777" w:rsidR="006004CB" w:rsidRDefault="006004CB" w:rsidP="00CB40A5">
      <w:pPr>
        <w:pStyle w:val="BodyText1"/>
        <w:sectPr w:rsidR="006004CB" w:rsidSect="009215F5">
          <w:type w:val="continuous"/>
          <w:pgSz w:w="11900" w:h="16850"/>
          <w:pgMar w:top="1340" w:right="1060" w:bottom="1020" w:left="860" w:header="567" w:footer="824" w:gutter="0"/>
          <w:cols w:space="720"/>
          <w:docGrid w:linePitch="299"/>
        </w:sectPr>
      </w:pPr>
    </w:p>
    <w:p w14:paraId="61EACD1A" w14:textId="77777777" w:rsidR="00015ABE" w:rsidRDefault="00015ABE" w:rsidP="00015ABE">
      <w:r w:rsidRPr="00437FB5">
        <w:t>This approach may be helpful as an organisation that has no considerations of gender and/or primary prevention is likely to display resistance from denial to backlash indicating the need for strategies to minimise and respond. An organisation displaying limited efforts to primary prevention or gender equality measures indicates a degree of support for or uptake of gender equality, but may also indicate co</w:t>
      </w:r>
      <w:r>
        <w:t>-</w:t>
      </w:r>
      <w:r w:rsidRPr="00437FB5">
        <w:t xml:space="preserve">option, appeasement and appropriation of gender equality initiatives, or elements of denial and disavowal. </w:t>
      </w:r>
    </w:p>
    <w:p w14:paraId="1F6DFE51" w14:textId="77777777" w:rsidR="00015ABE" w:rsidRDefault="00015ABE" w:rsidP="00015ABE"/>
    <w:p w14:paraId="084E6AE9" w14:textId="47FAF58D" w:rsidR="00015ABE" w:rsidRDefault="00015ABE" w:rsidP="00015ABE">
      <w:r w:rsidRPr="00437FB5">
        <w:t xml:space="preserve">For example, there may be formal policies supporting family violence leave or flexible work arrangements, but they are implemented on an ad hoc basis and the organisational culture does not support or encourage uptake. As such the institution looks like it is ‘doing gender’, but this is only on the surface. In </w:t>
      </w:r>
      <w:r>
        <w:t>contrast</w:t>
      </w:r>
      <w:r w:rsidR="007715F9">
        <w:t xml:space="preserve"> </w:t>
      </w:r>
      <w:r w:rsidRPr="00437FB5">
        <w:t xml:space="preserve">—drawing from </w:t>
      </w:r>
      <w:proofErr w:type="spellStart"/>
      <w:r w:rsidRPr="00437FB5">
        <w:t>Penderson</w:t>
      </w:r>
      <w:proofErr w:type="spellEnd"/>
      <w:r w:rsidRPr="00437FB5">
        <w:t xml:space="preserve">, Greaves and Poole (2014)— gender transformative approaches “actively strive to examine, question, and change rigid gender norms and imbalance of power” to address inequalities and transform harmful gender norms, </w:t>
      </w:r>
      <w:proofErr w:type="gramStart"/>
      <w:r w:rsidRPr="00437FB5">
        <w:t>practices</w:t>
      </w:r>
      <w:proofErr w:type="gramEnd"/>
      <w:r w:rsidRPr="00437FB5">
        <w:t xml:space="preserve"> and structures (</w:t>
      </w:r>
      <w:proofErr w:type="spellStart"/>
      <w:r w:rsidRPr="00437FB5">
        <w:t>Rottach</w:t>
      </w:r>
      <w:proofErr w:type="spellEnd"/>
      <w:r w:rsidRPr="00437FB5">
        <w:t xml:space="preserve"> et al., 2009, p. 8 in </w:t>
      </w:r>
      <w:proofErr w:type="spellStart"/>
      <w:r w:rsidRPr="00437FB5">
        <w:t>Penderson</w:t>
      </w:r>
      <w:proofErr w:type="spellEnd"/>
      <w:r w:rsidRPr="00437FB5">
        <w:t xml:space="preserve">, Greaves and Poole, 2014, pp. 142-143). </w:t>
      </w:r>
    </w:p>
    <w:p w14:paraId="0D65AE46" w14:textId="77777777" w:rsidR="00015ABE" w:rsidRDefault="00015ABE" w:rsidP="00015ABE"/>
    <w:p w14:paraId="169929F8" w14:textId="015A9ABF" w:rsidR="00015ABE" w:rsidRDefault="00015ABE" w:rsidP="00015ABE">
      <w:r w:rsidRPr="00437FB5">
        <w:t xml:space="preserve">Gender transformative approaches to primary prevention are holistic, </w:t>
      </w:r>
      <w:r w:rsidR="0041217E">
        <w:t>victim-survivor</w:t>
      </w:r>
      <w:r w:rsidR="0041217E" w:rsidRPr="00437FB5">
        <w:t xml:space="preserve"> </w:t>
      </w:r>
      <w:r w:rsidRPr="00437FB5">
        <w:t xml:space="preserve">centred, accountable to women and girls and </w:t>
      </w:r>
      <w:r w:rsidR="0041217E" w:rsidRPr="0041217E">
        <w:t xml:space="preserve">individuals and communities that experience intersecting structural inequalities and </w:t>
      </w:r>
      <w:proofErr w:type="gramStart"/>
      <w:r w:rsidR="0041217E" w:rsidRPr="0041217E">
        <w:t>discrimination</w:t>
      </w:r>
      <w:r w:rsidRPr="00437FB5">
        <w:t>, and</w:t>
      </w:r>
      <w:proofErr w:type="gramEnd"/>
      <w:r w:rsidRPr="00437FB5">
        <w:t xml:space="preserve"> enable the substantive inclusion of diverse women. It is these approaches that enable the long-term operationalisation of </w:t>
      </w:r>
      <w:r>
        <w:t xml:space="preserve">primary prevention and </w:t>
      </w:r>
      <w:r w:rsidRPr="00437FB5">
        <w:t xml:space="preserve">gender equality goals by redistributing power and resources. </w:t>
      </w:r>
    </w:p>
    <w:p w14:paraId="75A0A59E" w14:textId="2EFEA2CC" w:rsidR="00015ABE" w:rsidRDefault="00015ABE" w:rsidP="00015ABE"/>
    <w:p w14:paraId="7D189151" w14:textId="3ED81213" w:rsidR="00015ABE" w:rsidRDefault="00015ABE" w:rsidP="00015ABE">
      <w:r w:rsidRPr="00437FB5">
        <w:t xml:space="preserve">Some institutions may have elements of both transformative approaches and effective and promising primary prevention practice and elements of less effective or harmful practices (See Our Watch </w:t>
      </w:r>
      <w:r w:rsidR="00C2603C">
        <w:t>2021</w:t>
      </w:r>
      <w:r w:rsidRPr="00437FB5">
        <w:t xml:space="preserve">, Appendix </w:t>
      </w:r>
      <w:r w:rsidR="00C2603C">
        <w:t>2</w:t>
      </w:r>
      <w:r w:rsidRPr="00437FB5">
        <w:t xml:space="preserve">). An attempt to implement a radical primary prevention intervention in an institution that has no existing strategies for gender equality, or that actively perpetuates and reinforces the gendered drivers of violence, is very likely to encounter resistance. </w:t>
      </w:r>
    </w:p>
    <w:p w14:paraId="3A003487" w14:textId="77777777" w:rsidR="00015ABE" w:rsidRDefault="00015ABE" w:rsidP="00015ABE"/>
    <w:p w14:paraId="2D26CF8A" w14:textId="328BD892" w:rsidR="00015ABE" w:rsidRPr="00437FB5" w:rsidRDefault="00015ABE" w:rsidP="00015ABE">
      <w:r w:rsidRPr="00437FB5">
        <w:t xml:space="preserve">Thus, determining how an institution and organisation already approaches </w:t>
      </w:r>
      <w:r>
        <w:t xml:space="preserve">the prevention of violence against women and broader </w:t>
      </w:r>
      <w:r w:rsidRPr="00437FB5">
        <w:t xml:space="preserve">gender equality </w:t>
      </w:r>
      <w:r>
        <w:t xml:space="preserve">efforts </w:t>
      </w:r>
      <w:r w:rsidRPr="00437FB5">
        <w:t xml:space="preserve">will help influence how to plan for and minimise resistance and backlash, and how to respond when it occurs (Part 5). Mapping institutional and organisational norms, practices and structures and any pre-existing manifestations of resistance will help inform this understanding of the context and help changemakers to determine where they might dedicate time, </w:t>
      </w:r>
      <w:proofErr w:type="gramStart"/>
      <w:r w:rsidRPr="00437FB5">
        <w:t>resources</w:t>
      </w:r>
      <w:proofErr w:type="gramEnd"/>
      <w:r w:rsidRPr="00437FB5">
        <w:t xml:space="preserve"> and energy in order to convince the institution/organisation about the importance of addressing the gendered drivers of violence. </w:t>
      </w:r>
    </w:p>
    <w:p w14:paraId="5A78B621" w14:textId="41F9360A" w:rsidR="00015ABE" w:rsidRDefault="00015ABE" w:rsidP="00015ABE">
      <w:pPr>
        <w:pStyle w:val="Mainbody-subheadings"/>
      </w:pPr>
      <w:bookmarkStart w:id="83" w:name="_Toc85620736"/>
      <w:bookmarkStart w:id="84" w:name="_Toc87526323"/>
      <w:r>
        <w:t>Monitoring resistance &amp; backlash</w:t>
      </w:r>
      <w:bookmarkEnd w:id="83"/>
      <w:bookmarkEnd w:id="84"/>
    </w:p>
    <w:p w14:paraId="4BE86A66" w14:textId="7A84D90D" w:rsidR="00015ABE" w:rsidRDefault="00015ABE" w:rsidP="00015ABE">
      <w:bookmarkStart w:id="85" w:name="_Hlk85202962"/>
      <w:r w:rsidRPr="00437FB5">
        <w:t xml:space="preserve">Achieving </w:t>
      </w:r>
      <w:r>
        <w:t>primary prevention of violence against women goals</w:t>
      </w:r>
      <w:r w:rsidRPr="00437FB5">
        <w:t xml:space="preserve"> requires institutional transformation, meaning profound changes across the entire institution including changes to dominant values and belief</w:t>
      </w:r>
      <w:r>
        <w:t>s</w:t>
      </w:r>
      <w:r w:rsidRPr="00437FB5">
        <w:t xml:space="preserve">. Further, institutions do not sit in silos, but are influenced by a range of other structures. </w:t>
      </w:r>
      <w:r>
        <w:t>Thus, a</w:t>
      </w:r>
      <w:r w:rsidRPr="00437FB5">
        <w:t>chieving</w:t>
      </w:r>
      <w:r w:rsidR="00803BF0">
        <w:t xml:space="preserve"> prevention of violence against women and</w:t>
      </w:r>
      <w:r w:rsidRPr="00437FB5">
        <w:t xml:space="preserve"> gender </w:t>
      </w:r>
      <w:r w:rsidRPr="00437FB5">
        <w:lastRenderedPageBreak/>
        <w:t>equality</w:t>
      </w:r>
      <w:r w:rsidR="00803BF0">
        <w:t xml:space="preserve"> goals</w:t>
      </w:r>
      <w:r w:rsidRPr="00437FB5">
        <w:t xml:space="preserve"> is a complex, multifaceted and layered endeavour, requiring a holistic approach to include all in that process.</w:t>
      </w:r>
      <w:r>
        <w:t xml:space="preserve"> Importantly, such an approach must also be underpinned by an implicit understanding of how intersecting power dynamics and forms of discrimination can further complicate efforts to identify and counteract resistance and backlash. </w:t>
      </w:r>
    </w:p>
    <w:p w14:paraId="66C93B84" w14:textId="77777777" w:rsidR="00015ABE" w:rsidRDefault="00015ABE" w:rsidP="00015ABE"/>
    <w:p w14:paraId="26E54369" w14:textId="2E46A233" w:rsidR="00015ABE" w:rsidRPr="001C7855" w:rsidRDefault="00015ABE" w:rsidP="00015ABE">
      <w:r w:rsidRPr="00437FB5">
        <w:t>This includes</w:t>
      </w:r>
      <w:r w:rsidRPr="00437FB5">
        <w:rPr>
          <w:rFonts w:eastAsia="Times New Roman" w:cs="Calibri"/>
          <w:color w:val="000000"/>
          <w:shd w:val="clear" w:color="auto" w:fill="FFFFFF"/>
          <w:lang w:eastAsia="en-GB"/>
        </w:rPr>
        <w:t xml:space="preserve"> accounting for individuals, organisations, and institutions connected through relationships, </w:t>
      </w:r>
      <w:proofErr w:type="gramStart"/>
      <w:r w:rsidRPr="00437FB5">
        <w:rPr>
          <w:rFonts w:eastAsia="Times New Roman" w:cs="Calibri"/>
          <w:color w:val="000000"/>
          <w:shd w:val="clear" w:color="auto" w:fill="FFFFFF"/>
          <w:lang w:eastAsia="en-GB"/>
        </w:rPr>
        <w:t>interactions</w:t>
      </w:r>
      <w:proofErr w:type="gramEnd"/>
      <w:r w:rsidRPr="00437FB5">
        <w:rPr>
          <w:rFonts w:eastAsia="Times New Roman" w:cs="Calibri"/>
          <w:color w:val="000000"/>
          <w:shd w:val="clear" w:color="auto" w:fill="FFFFFF"/>
          <w:lang w:eastAsia="en-GB"/>
        </w:rPr>
        <w:t xml:space="preserve"> and resource exchange, together forming a whole that is greater than the sum of its parts (Kan</w:t>
      </w:r>
      <w:r>
        <w:rPr>
          <w:rFonts w:eastAsia="Times New Roman" w:cs="Calibri"/>
          <w:color w:val="000000"/>
          <w:shd w:val="clear" w:color="auto" w:fill="FFFFFF"/>
          <w:lang w:eastAsia="en-GB"/>
        </w:rPr>
        <w:t>i</w:t>
      </w:r>
      <w:r w:rsidRPr="00437FB5">
        <w:rPr>
          <w:rFonts w:eastAsia="Times New Roman" w:cs="Calibri"/>
          <w:color w:val="000000"/>
          <w:shd w:val="clear" w:color="auto" w:fill="FFFFFF"/>
          <w:lang w:eastAsia="en-GB"/>
        </w:rPr>
        <w:t>a et al., 2018)</w:t>
      </w:r>
      <w:r w:rsidRPr="00437FB5">
        <w:t>.</w:t>
      </w:r>
      <w:r>
        <w:rPr>
          <w:rStyle w:val="FootnoteReference"/>
        </w:rPr>
        <w:footnoteReference w:id="14"/>
      </w:r>
      <w:r w:rsidRPr="00437FB5">
        <w:t xml:space="preserve"> </w:t>
      </w:r>
    </w:p>
    <w:bookmarkEnd w:id="85"/>
    <w:p w14:paraId="4457CDAA" w14:textId="77777777" w:rsidR="00015ABE" w:rsidRPr="00437FB5" w:rsidRDefault="00015ABE" w:rsidP="00015ABE">
      <w:pPr>
        <w:rPr>
          <w:rFonts w:cstheme="minorHAnsi"/>
        </w:rPr>
      </w:pPr>
    </w:p>
    <w:p w14:paraId="7779C746" w14:textId="77777777" w:rsidR="00015ABE" w:rsidRPr="00437FB5" w:rsidRDefault="00015ABE" w:rsidP="00015ABE">
      <w:pPr>
        <w:spacing w:after="120"/>
        <w:rPr>
          <w:rFonts w:cstheme="minorHAnsi"/>
        </w:rPr>
      </w:pPr>
      <w:r w:rsidRPr="00437FB5">
        <w:rPr>
          <w:rFonts w:cstheme="minorHAnsi"/>
        </w:rPr>
        <w:t xml:space="preserve">To monitor resistance to </w:t>
      </w:r>
      <w:r>
        <w:rPr>
          <w:rFonts w:cstheme="minorHAnsi"/>
        </w:rPr>
        <w:t xml:space="preserve">primary </w:t>
      </w:r>
      <w:r w:rsidRPr="00437FB5">
        <w:rPr>
          <w:rFonts w:cstheme="minorHAnsi"/>
        </w:rPr>
        <w:t>prevention</w:t>
      </w:r>
      <w:r>
        <w:rPr>
          <w:rFonts w:cstheme="minorHAnsi"/>
        </w:rPr>
        <w:t xml:space="preserve"> of violence against women</w:t>
      </w:r>
      <w:r w:rsidRPr="00437FB5">
        <w:rPr>
          <w:rFonts w:cstheme="minorHAnsi"/>
        </w:rPr>
        <w:t xml:space="preserve">, the </w:t>
      </w:r>
      <w:r>
        <w:rPr>
          <w:rFonts w:cstheme="minorHAnsi"/>
        </w:rPr>
        <w:t>monitoring approach</w:t>
      </w:r>
      <w:r w:rsidRPr="00437FB5">
        <w:rPr>
          <w:rFonts w:cstheme="minorHAnsi"/>
        </w:rPr>
        <w:t xml:space="preserve"> uses systems thinking that ‘bounds’ </w:t>
      </w:r>
      <w:r>
        <w:rPr>
          <w:rFonts w:cstheme="minorHAnsi"/>
        </w:rPr>
        <w:t>an</w:t>
      </w:r>
      <w:r w:rsidRPr="00437FB5">
        <w:rPr>
          <w:rFonts w:cstheme="minorHAnsi"/>
        </w:rPr>
        <w:t xml:space="preserve"> institution by:</w:t>
      </w:r>
    </w:p>
    <w:p w14:paraId="15DEC470" w14:textId="77777777" w:rsidR="00015ABE" w:rsidRPr="00015ABE" w:rsidRDefault="00015ABE" w:rsidP="00B01F9C">
      <w:pPr>
        <w:pStyle w:val="ListParagraph"/>
        <w:widowControl/>
        <w:numPr>
          <w:ilvl w:val="0"/>
          <w:numId w:val="20"/>
        </w:numPr>
        <w:autoSpaceDE/>
        <w:autoSpaceDN/>
        <w:spacing w:before="0" w:after="120"/>
      </w:pPr>
      <w:r w:rsidRPr="00015ABE">
        <w:t xml:space="preserve">Defining the problem, which is resistance and backlash to primary prevention change efforts and interventions. </w:t>
      </w:r>
    </w:p>
    <w:p w14:paraId="1E22C7D8" w14:textId="77777777" w:rsidR="00015ABE" w:rsidRPr="00015ABE" w:rsidRDefault="00015ABE" w:rsidP="00B01F9C">
      <w:pPr>
        <w:pStyle w:val="ListParagraph"/>
        <w:widowControl/>
        <w:numPr>
          <w:ilvl w:val="0"/>
          <w:numId w:val="20"/>
        </w:numPr>
        <w:autoSpaceDE/>
        <w:autoSpaceDN/>
        <w:spacing w:before="0" w:after="120"/>
      </w:pPr>
      <w:r w:rsidRPr="00015ABE">
        <w:t xml:space="preserve">Identifying the key aspects of the system that contribute to, influence or positively and negatively affect the achievement of primary prevention of violence against women goals.  </w:t>
      </w:r>
    </w:p>
    <w:p w14:paraId="37596410" w14:textId="1FAF1A65" w:rsidR="00015ABE" w:rsidRPr="00015ABE" w:rsidRDefault="00015ABE" w:rsidP="00B01F9C">
      <w:pPr>
        <w:pStyle w:val="ListParagraph"/>
        <w:widowControl/>
        <w:numPr>
          <w:ilvl w:val="0"/>
          <w:numId w:val="20"/>
        </w:numPr>
        <w:autoSpaceDE/>
        <w:autoSpaceDN/>
        <w:spacing w:before="0" w:after="120"/>
      </w:pPr>
      <w:r w:rsidRPr="00015ABE">
        <w:t>Understand</w:t>
      </w:r>
      <w:r w:rsidR="007715F9">
        <w:t>ing</w:t>
      </w:r>
      <w:r w:rsidRPr="00015ABE">
        <w:t xml:space="preserve"> the internal and external patterns of system behaviour</w:t>
      </w:r>
      <w:r w:rsidRPr="00437FB5">
        <w:t>, how each of the critical parts of the system, such as long-term resourcing, policies, legislation and so on, function, and how they interact to reinforce or stabilise other parts of the system, such as organisational culture and norms.</w:t>
      </w:r>
    </w:p>
    <w:p w14:paraId="7B60954C" w14:textId="77777777" w:rsidR="00015ABE" w:rsidRPr="00015ABE" w:rsidRDefault="00015ABE" w:rsidP="00B01F9C">
      <w:pPr>
        <w:pStyle w:val="ListParagraph"/>
        <w:widowControl/>
        <w:numPr>
          <w:ilvl w:val="0"/>
          <w:numId w:val="20"/>
        </w:numPr>
        <w:autoSpaceDE/>
        <w:autoSpaceDN/>
        <w:spacing w:before="0" w:after="120"/>
      </w:pPr>
      <w:r w:rsidRPr="00015ABE">
        <w:t>Identifying change points and levers that will create shifts within the institution and organisation by addressing and responding to resistance and backlash.</w:t>
      </w:r>
      <w:r w:rsidRPr="00C4511B">
        <w:rPr>
          <w:sz w:val="18"/>
          <w:szCs w:val="16"/>
        </w:rPr>
        <w:footnoteReference w:id="15"/>
      </w:r>
    </w:p>
    <w:p w14:paraId="6850DF96" w14:textId="5CF79519" w:rsidR="00015ABE" w:rsidRDefault="00015ABE" w:rsidP="00015ABE">
      <w:pPr>
        <w:rPr>
          <w:rFonts w:cstheme="minorHAnsi"/>
        </w:rPr>
      </w:pPr>
      <w:r w:rsidRPr="00437FB5">
        <w:t xml:space="preserve">Processes of change </w:t>
      </w:r>
      <w:r w:rsidRPr="001C7855">
        <w:t xml:space="preserve">within institutions require continuous reassessment, </w:t>
      </w:r>
      <w:r w:rsidRPr="00F0202D">
        <w:t xml:space="preserve">both </w:t>
      </w:r>
      <w:r w:rsidRPr="00E04778">
        <w:t xml:space="preserve">of new </w:t>
      </w:r>
      <w:r w:rsidRPr="00661AF1">
        <w:t xml:space="preserve">challenges </w:t>
      </w:r>
      <w:r w:rsidRPr="002E2690">
        <w:t>and new</w:t>
      </w:r>
      <w:r w:rsidRPr="00A663E5">
        <w:t xml:space="preserve"> incentives for change that emerge. </w:t>
      </w:r>
      <w:r>
        <w:t>M</w:t>
      </w:r>
      <w:r w:rsidRPr="001C7855">
        <w:t>onitoring resistance and backlash</w:t>
      </w:r>
      <w:r w:rsidRPr="00F0202D">
        <w:t xml:space="preserve"> </w:t>
      </w:r>
      <w:r w:rsidRPr="002C2A7C">
        <w:rPr>
          <w:rFonts w:cstheme="minorHAnsi"/>
        </w:rPr>
        <w:t xml:space="preserve">should be </w:t>
      </w:r>
      <w:r>
        <w:rPr>
          <w:rFonts w:cstheme="minorHAnsi"/>
        </w:rPr>
        <w:t>undertaken</w:t>
      </w:r>
      <w:r w:rsidRPr="002C2A7C">
        <w:rPr>
          <w:rFonts w:cstheme="minorHAnsi"/>
        </w:rPr>
        <w:t xml:space="preserve"> throughout the planning, implementation and evaluation of a primary prevention change intervention. </w:t>
      </w:r>
      <w:r w:rsidRPr="001C7855">
        <w:rPr>
          <w:rFonts w:cstheme="minorHAnsi"/>
        </w:rPr>
        <w:t xml:space="preserve">It should </w:t>
      </w:r>
      <w:r>
        <w:rPr>
          <w:rFonts w:cstheme="minorHAnsi"/>
        </w:rPr>
        <w:t xml:space="preserve">primarily </w:t>
      </w:r>
      <w:r w:rsidRPr="001C7855">
        <w:rPr>
          <w:rFonts w:cstheme="minorHAnsi"/>
        </w:rPr>
        <w:t xml:space="preserve">be </w:t>
      </w:r>
      <w:r>
        <w:rPr>
          <w:rFonts w:cstheme="minorHAnsi"/>
        </w:rPr>
        <w:t>done</w:t>
      </w:r>
      <w:r w:rsidRPr="001C7855">
        <w:rPr>
          <w:rFonts w:cstheme="minorHAnsi"/>
        </w:rPr>
        <w:t xml:space="preserve"> by those </w:t>
      </w:r>
      <w:r>
        <w:rPr>
          <w:rFonts w:cstheme="minorHAnsi"/>
        </w:rPr>
        <w:t xml:space="preserve">implementing the primary prevention initiative with support and input from </w:t>
      </w:r>
      <w:r w:rsidRPr="002C2A7C">
        <w:rPr>
          <w:rFonts w:cstheme="minorHAnsi"/>
        </w:rPr>
        <w:t xml:space="preserve">key stakeholders </w:t>
      </w:r>
      <w:r>
        <w:rPr>
          <w:rFonts w:cstheme="minorHAnsi"/>
        </w:rPr>
        <w:t xml:space="preserve">and allies </w:t>
      </w:r>
      <w:r w:rsidRPr="002C2A7C">
        <w:rPr>
          <w:rFonts w:cstheme="minorHAnsi"/>
        </w:rPr>
        <w:t>from different parts and levels in an organisation who are supporters of primary prevention of violence against women.</w:t>
      </w:r>
    </w:p>
    <w:p w14:paraId="211FD892" w14:textId="77777777" w:rsidR="00015ABE" w:rsidRPr="002C2A7C" w:rsidRDefault="00015ABE" w:rsidP="00015ABE">
      <w:pPr>
        <w:rPr>
          <w:rFonts w:cstheme="minorHAnsi"/>
        </w:rPr>
      </w:pPr>
    </w:p>
    <w:p w14:paraId="1C6514C7" w14:textId="61DB2470" w:rsidR="00015ABE" w:rsidRPr="007F50DB" w:rsidRDefault="00015ABE" w:rsidP="007F50DB">
      <w:pPr>
        <w:pStyle w:val="Mainbody-subheadings"/>
      </w:pPr>
      <w:bookmarkStart w:id="86" w:name="_Toc85620737"/>
      <w:bookmarkStart w:id="87" w:name="_Toc87526324"/>
      <w:r w:rsidRPr="007F50DB">
        <w:t>Reflective practice</w:t>
      </w:r>
      <w:bookmarkEnd w:id="86"/>
      <w:bookmarkEnd w:id="87"/>
    </w:p>
    <w:p w14:paraId="37912E09" w14:textId="77777777" w:rsidR="00015ABE" w:rsidRPr="00437FB5" w:rsidRDefault="00015ABE" w:rsidP="00015ABE">
      <w:r>
        <w:t xml:space="preserve">Monitoring resistance and backlash should be </w:t>
      </w:r>
      <w:r w:rsidRPr="00437FB5">
        <w:t xml:space="preserve">underpinned by a reflective practice approach to help practitioners think through where resistance might be occurring not only in terms of individuals and themselves, but also in terms of institutional and organisational architecture. </w:t>
      </w:r>
    </w:p>
    <w:p w14:paraId="579FF180" w14:textId="77777777" w:rsidR="00015ABE" w:rsidRPr="00437FB5" w:rsidRDefault="00015ABE" w:rsidP="00015ABE"/>
    <w:p w14:paraId="2E009A5C" w14:textId="3E868CD5" w:rsidR="00015ABE" w:rsidRDefault="00015ABE" w:rsidP="00015ABE">
      <w:r w:rsidRPr="00437FB5">
        <w:t xml:space="preserve">The </w:t>
      </w:r>
      <w:r w:rsidRPr="00437FB5">
        <w:rPr>
          <w:i/>
          <w:iCs/>
        </w:rPr>
        <w:t xml:space="preserve">Putting prevention into practice </w:t>
      </w:r>
      <w:r w:rsidRPr="00437FB5">
        <w:t>Handbook advocates for a reflective practice as a critical component of prevention work that aims to be intersectional and transformative (Our Watch</w:t>
      </w:r>
      <w:r>
        <w:t xml:space="preserve"> 2017</w:t>
      </w:r>
      <w:r w:rsidRPr="00437FB5">
        <w:t xml:space="preserve">, p. 70). Firstly, it ensures critical </w:t>
      </w:r>
      <w:r w:rsidRPr="00437FB5">
        <w:rPr>
          <w:i/>
          <w:iCs/>
        </w:rPr>
        <w:t>self-</w:t>
      </w:r>
      <w:r w:rsidRPr="00437FB5">
        <w:t xml:space="preserve">reflection as it prompts practitioners to reflect on their own privilege and assumptions or prejudices that may impact their work and relationships. For </w:t>
      </w:r>
      <w:r w:rsidRPr="00437FB5">
        <w:lastRenderedPageBreak/>
        <w:t xml:space="preserve">example, experiences of resistance and backlash are going to be different when they are encountered by a white able-bodied woman from an English-speaking background compared to a woman of colour who is a first-generation migrant in Australia. </w:t>
      </w:r>
    </w:p>
    <w:p w14:paraId="2EEFF170" w14:textId="4E9D463B" w:rsidR="00015ABE" w:rsidRPr="00437FB5" w:rsidRDefault="00015ABE" w:rsidP="00015ABE"/>
    <w:p w14:paraId="460E136E" w14:textId="77777777" w:rsidR="00015ABE" w:rsidRPr="00437FB5" w:rsidRDefault="00015ABE" w:rsidP="00015ABE">
      <w:pPr>
        <w:pStyle w:val="IntenseQuote"/>
        <w:rPr>
          <w:sz w:val="24"/>
        </w:rPr>
      </w:pPr>
      <w:r w:rsidRPr="00437FB5">
        <w:rPr>
          <w:sz w:val="24"/>
        </w:rPr>
        <w:t xml:space="preserve">I really focus on white privilege…myself as an example the [other] prevention practitioner, she's [from India] and I've </w:t>
      </w:r>
      <w:proofErr w:type="gramStart"/>
      <w:r w:rsidRPr="00437FB5">
        <w:rPr>
          <w:sz w:val="24"/>
        </w:rPr>
        <w:t>actually had</w:t>
      </w:r>
      <w:proofErr w:type="gramEnd"/>
      <w:r w:rsidRPr="00437FB5">
        <w:rPr>
          <w:sz w:val="24"/>
        </w:rPr>
        <w:t xml:space="preserve"> a look at myself as a white privileged woman and I'd probably get a job over her if I went and applied for a job… I speak clear English. I haven't really had the challenges that she's had. I'm not coming over to a new </w:t>
      </w:r>
      <w:proofErr w:type="gramStart"/>
      <w:r w:rsidRPr="00437FB5">
        <w:rPr>
          <w:sz w:val="24"/>
        </w:rPr>
        <w:t>country</w:t>
      </w:r>
      <w:proofErr w:type="gramEnd"/>
      <w:r w:rsidRPr="00437FB5">
        <w:rPr>
          <w:sz w:val="24"/>
        </w:rPr>
        <w:t xml:space="preserve"> so I even use myself with that when it comes to privilege…I'm not as privileged as a man a white male, [but] you do have advantages over many other people</w:t>
      </w:r>
      <w:r>
        <w:rPr>
          <w:sz w:val="24"/>
        </w:rPr>
        <w:t>.</w:t>
      </w:r>
      <w:r>
        <w:rPr>
          <w:rStyle w:val="FootnoteReference"/>
          <w:sz w:val="24"/>
        </w:rPr>
        <w:footnoteReference w:id="16"/>
      </w:r>
    </w:p>
    <w:p w14:paraId="250C3037" w14:textId="77777777" w:rsidR="00015ABE" w:rsidRPr="00437FB5" w:rsidRDefault="00015ABE" w:rsidP="00015ABE"/>
    <w:p w14:paraId="5FA26BDF" w14:textId="77777777" w:rsidR="00015ABE" w:rsidRPr="00437FB5" w:rsidRDefault="00015ABE" w:rsidP="00015ABE">
      <w:r w:rsidRPr="00437FB5">
        <w:t xml:space="preserve">Secondly, reflecting on the institution and organisation and the role of the practitioner and where they are positioned may impact the relationships and dynamics with others in the institution. This can influence where and how resistance and backlash manifests. For example, if the changemaker is an ‘outsider’ to an institution, they will be received differently and have different relationships with members of the institution compared to someone who is already part of that institutional setting. </w:t>
      </w:r>
    </w:p>
    <w:p w14:paraId="2523E187" w14:textId="6C8FC584" w:rsidR="00015ABE" w:rsidRDefault="00015ABE" w:rsidP="00015ABE"/>
    <w:p w14:paraId="2DF3D82E" w14:textId="06E7E893" w:rsidR="00015ABE" w:rsidRDefault="00015ABE" w:rsidP="00015ABE">
      <w:r w:rsidRPr="00015ABE">
        <w:t xml:space="preserve">Monitoring resistance and backlash can be usefully divided into five ‘institutional and organisational themes’ (Fig. 5) containing several different elements within each. Drawing from existing research and guides on systems and institutional transformation the themes have been created to connect </w:t>
      </w:r>
      <w:r w:rsidRPr="00015ABE">
        <w:t>the more formal institutional aspects of resistance and backlash, with the informal gendered structures norms and practices that constrain the operationalisation of gendered approaches to prevention of violence against women and identify where resistance is coming from.</w:t>
      </w:r>
    </w:p>
    <w:p w14:paraId="09D20DF9" w14:textId="622BFEDD" w:rsidR="00015ABE" w:rsidRDefault="00015ABE" w:rsidP="00015ABE">
      <w:r>
        <w:rPr>
          <w:noProof/>
          <w:color w:val="2B579A"/>
          <w:shd w:val="clear" w:color="auto" w:fill="E6E6E6"/>
        </w:rPr>
        <mc:AlternateContent>
          <mc:Choice Requires="wpg">
            <w:drawing>
              <wp:anchor distT="0" distB="0" distL="114300" distR="114300" simplePos="0" relativeHeight="251721728" behindDoc="0" locked="0" layoutInCell="1" allowOverlap="1" wp14:anchorId="5EDA72C1" wp14:editId="14EC8476">
                <wp:simplePos x="0" y="0"/>
                <wp:positionH relativeFrom="margin">
                  <wp:posOffset>3416300</wp:posOffset>
                </wp:positionH>
                <wp:positionV relativeFrom="paragraph">
                  <wp:posOffset>361268</wp:posOffset>
                </wp:positionV>
                <wp:extent cx="2950845" cy="5741717"/>
                <wp:effectExtent l="0" t="0" r="1905" b="0"/>
                <wp:wrapSquare wrapText="bothSides"/>
                <wp:docPr id="23" name="Group 23"/>
                <wp:cNvGraphicFramePr/>
                <a:graphic xmlns:a="http://schemas.openxmlformats.org/drawingml/2006/main">
                  <a:graphicData uri="http://schemas.microsoft.com/office/word/2010/wordprocessingGroup">
                    <wpg:wgp>
                      <wpg:cNvGrpSpPr/>
                      <wpg:grpSpPr>
                        <a:xfrm>
                          <a:off x="0" y="0"/>
                          <a:ext cx="2950845" cy="5741717"/>
                          <a:chOff x="0" y="0"/>
                          <a:chExt cx="2942463" cy="5096510"/>
                        </a:xfrm>
                      </wpg:grpSpPr>
                      <wpg:graphicFrame>
                        <wpg:cNvPr id="24" name="Diagram 24"/>
                        <wpg:cNvFrPr/>
                        <wpg:xfrm>
                          <a:off x="0" y="0"/>
                          <a:ext cx="2661285" cy="5096510"/>
                        </wpg:xfrm>
                        <a:graphic>
                          <a:graphicData uri="http://schemas.openxmlformats.org/drawingml/2006/diagram">
                            <dgm:relIds xmlns:dgm="http://schemas.openxmlformats.org/drawingml/2006/diagram" xmlns:r="http://schemas.openxmlformats.org/officeDocument/2006/relationships" r:dm="rId28" r:lo="rId29" r:qs="rId30" r:cs="rId31"/>
                          </a:graphicData>
                        </a:graphic>
                      </wpg:graphicFrame>
                      <wps:wsp>
                        <wps:cNvPr id="27" name="Text Box 27"/>
                        <wps:cNvSpPr txBox="1"/>
                        <wps:spPr>
                          <a:xfrm>
                            <a:off x="186149" y="4674904"/>
                            <a:ext cx="2756314" cy="344032"/>
                          </a:xfrm>
                          <a:prstGeom prst="rect">
                            <a:avLst/>
                          </a:prstGeom>
                          <a:solidFill>
                            <a:prstClr val="white"/>
                          </a:solidFill>
                          <a:ln>
                            <a:noFill/>
                          </a:ln>
                        </wps:spPr>
                        <wps:txbx>
                          <w:txbxContent>
                            <w:p w14:paraId="508E7CCB" w14:textId="0E60AC4E" w:rsidR="007F50DB" w:rsidRPr="00015ABE" w:rsidRDefault="007F50DB" w:rsidP="00015ABE">
                              <w:pPr>
                                <w:pStyle w:val="Caption"/>
                                <w:rPr>
                                  <w:rFonts w:eastAsiaTheme="minorHAnsi"/>
                                  <w:noProof/>
                                  <w:color w:val="F79646" w:themeColor="accent6"/>
                                  <w:szCs w:val="20"/>
                                  <w:lang w:eastAsia="en-US"/>
                                </w:rPr>
                              </w:pPr>
                              <w:bookmarkStart w:id="88" w:name="_Toc94771647"/>
                              <w:r w:rsidRPr="00015ABE">
                                <w:rPr>
                                  <w:color w:val="F79646" w:themeColor="accent6"/>
                                  <w:szCs w:val="20"/>
                                </w:rPr>
                                <w:t xml:space="preserve">Figure </w:t>
                              </w:r>
                              <w:r w:rsidRPr="00015ABE">
                                <w:rPr>
                                  <w:color w:val="F79646" w:themeColor="accent6"/>
                                  <w:szCs w:val="20"/>
                                  <w:shd w:val="clear" w:color="auto" w:fill="E6E6E6"/>
                                </w:rPr>
                                <w:fldChar w:fldCharType="begin"/>
                              </w:r>
                              <w:r w:rsidRPr="00015ABE">
                                <w:rPr>
                                  <w:color w:val="F79646" w:themeColor="accent6"/>
                                  <w:szCs w:val="20"/>
                                </w:rPr>
                                <w:instrText xml:space="preserve"> SEQ Figure \* ARABIC </w:instrText>
                              </w:r>
                              <w:r w:rsidRPr="00015ABE">
                                <w:rPr>
                                  <w:color w:val="F79646" w:themeColor="accent6"/>
                                  <w:szCs w:val="20"/>
                                  <w:shd w:val="clear" w:color="auto" w:fill="E6E6E6"/>
                                </w:rPr>
                                <w:fldChar w:fldCharType="separate"/>
                              </w:r>
                              <w:r w:rsidR="00D93EBF">
                                <w:rPr>
                                  <w:noProof/>
                                  <w:color w:val="F79646" w:themeColor="accent6"/>
                                  <w:szCs w:val="20"/>
                                </w:rPr>
                                <w:t>4</w:t>
                              </w:r>
                              <w:r w:rsidRPr="00015ABE">
                                <w:rPr>
                                  <w:color w:val="F79646" w:themeColor="accent6"/>
                                  <w:szCs w:val="20"/>
                                  <w:shd w:val="clear" w:color="auto" w:fill="E6E6E6"/>
                                </w:rPr>
                                <w:fldChar w:fldCharType="end"/>
                              </w:r>
                              <w:r w:rsidRPr="00015ABE">
                                <w:rPr>
                                  <w:color w:val="F79646" w:themeColor="accent6"/>
                                  <w:szCs w:val="20"/>
                                </w:rPr>
                                <w:t>. Themes of institutional change and resistance</w:t>
                              </w:r>
                              <w:bookmarkEnd w:id="8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DA72C1" id="Group 23" o:spid="_x0000_s1033" style="position:absolute;margin-left:269pt;margin-top:28.45pt;width:232.35pt;height:452.1pt;z-index:251721728;mso-position-horizontal-relative:margin;mso-width-relative:margin;mso-height-relative:margin" coordsize="29424,5096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4" o:spid="_x0000_s1034" type="#_x0000_t75" style="position:absolute;left:4984;top:5735;width:16656;height:403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">
                  <v:imagedata r:id="rId33" o:title=""/>
                  <o:lock v:ext="edit" aspectratio="f"/>
                </v:shape>
                <v:shape id="Text Box 27" o:spid="_x0000_s1035" type="#_x0000_t202" style="position:absolute;left:1861;top:46749;width:27563;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508E7CCB" w14:textId="0E60AC4E" w:rsidR="007F50DB" w:rsidRPr="00015ABE" w:rsidRDefault="007F50DB" w:rsidP="00015ABE">
                        <w:pPr>
                          <w:pStyle w:val="Caption"/>
                          <w:rPr>
                            <w:rFonts w:eastAsiaTheme="minorHAnsi"/>
                            <w:noProof/>
                            <w:color w:val="F79646" w:themeColor="accent6"/>
                            <w:szCs w:val="20"/>
                            <w:lang w:eastAsia="en-US"/>
                          </w:rPr>
                        </w:pPr>
                        <w:bookmarkStart w:id="91" w:name="_Toc94771647"/>
                        <w:r w:rsidRPr="00015ABE">
                          <w:rPr>
                            <w:color w:val="F79646" w:themeColor="accent6"/>
                            <w:szCs w:val="20"/>
                          </w:rPr>
                          <w:t xml:space="preserve">Figure </w:t>
                        </w:r>
                        <w:r w:rsidRPr="00015ABE">
                          <w:rPr>
                            <w:color w:val="F79646" w:themeColor="accent6"/>
                            <w:szCs w:val="20"/>
                            <w:shd w:val="clear" w:color="auto" w:fill="E6E6E6"/>
                          </w:rPr>
                          <w:fldChar w:fldCharType="begin"/>
                        </w:r>
                        <w:r w:rsidRPr="00015ABE">
                          <w:rPr>
                            <w:color w:val="F79646" w:themeColor="accent6"/>
                            <w:szCs w:val="20"/>
                          </w:rPr>
                          <w:instrText xml:space="preserve"> SEQ Figure \* ARABIC </w:instrText>
                        </w:r>
                        <w:r w:rsidRPr="00015ABE">
                          <w:rPr>
                            <w:color w:val="F79646" w:themeColor="accent6"/>
                            <w:szCs w:val="20"/>
                            <w:shd w:val="clear" w:color="auto" w:fill="E6E6E6"/>
                          </w:rPr>
                          <w:fldChar w:fldCharType="separate"/>
                        </w:r>
                        <w:r w:rsidR="00D93EBF">
                          <w:rPr>
                            <w:noProof/>
                            <w:color w:val="F79646" w:themeColor="accent6"/>
                            <w:szCs w:val="20"/>
                          </w:rPr>
                          <w:t>4</w:t>
                        </w:r>
                        <w:r w:rsidRPr="00015ABE">
                          <w:rPr>
                            <w:color w:val="F79646" w:themeColor="accent6"/>
                            <w:szCs w:val="20"/>
                            <w:shd w:val="clear" w:color="auto" w:fill="E6E6E6"/>
                          </w:rPr>
                          <w:fldChar w:fldCharType="end"/>
                        </w:r>
                        <w:r w:rsidRPr="00015ABE">
                          <w:rPr>
                            <w:color w:val="F79646" w:themeColor="accent6"/>
                            <w:szCs w:val="20"/>
                          </w:rPr>
                          <w:t>. Themes of institutional change and resistance</w:t>
                        </w:r>
                        <w:bookmarkEnd w:id="91"/>
                      </w:p>
                    </w:txbxContent>
                  </v:textbox>
                </v:shape>
                <w10:wrap type="square" anchorx="margin"/>
              </v:group>
            </w:pict>
          </mc:Fallback>
        </mc:AlternateContent>
      </w:r>
    </w:p>
    <w:p w14:paraId="5FD52B8C" w14:textId="224C3F7A" w:rsidR="00015ABE" w:rsidRDefault="00015ABE" w:rsidP="00015ABE"/>
    <w:p w14:paraId="72ABAD32" w14:textId="1213DA25" w:rsidR="00015ABE" w:rsidRPr="007F50DB" w:rsidRDefault="00015ABE" w:rsidP="007F50DB">
      <w:pPr>
        <w:pStyle w:val="Mainbody-subheadings"/>
      </w:pPr>
      <w:bookmarkStart w:id="89" w:name="_Toc85032914"/>
      <w:bookmarkStart w:id="90" w:name="_Toc85620738"/>
      <w:bookmarkStart w:id="91" w:name="_Toc87526325"/>
      <w:r w:rsidRPr="007F50DB">
        <w:lastRenderedPageBreak/>
        <w:t xml:space="preserve">Follow the laws, </w:t>
      </w:r>
      <w:proofErr w:type="gramStart"/>
      <w:r w:rsidRPr="007F50DB">
        <w:t>policies</w:t>
      </w:r>
      <w:proofErr w:type="gramEnd"/>
      <w:r w:rsidRPr="007F50DB">
        <w:t xml:space="preserve"> and frameworks</w:t>
      </w:r>
      <w:bookmarkEnd w:id="89"/>
      <w:bookmarkEnd w:id="90"/>
      <w:bookmarkEnd w:id="91"/>
    </w:p>
    <w:p w14:paraId="301C9FB2" w14:textId="38914676" w:rsidR="00015ABE" w:rsidRDefault="00015ABE" w:rsidP="00015ABE">
      <w:r w:rsidRPr="00437FB5">
        <w:t>This theme is aimed at looking at the external formal institutional architecture that structures organisations including Federal, state and</w:t>
      </w:r>
      <w:r w:rsidR="0041217E">
        <w:t xml:space="preserve"> territory and </w:t>
      </w:r>
      <w:r w:rsidRPr="00437FB5">
        <w:t xml:space="preserve">local laws, policies, </w:t>
      </w:r>
      <w:proofErr w:type="gramStart"/>
      <w:r w:rsidRPr="00437FB5">
        <w:t>rules</w:t>
      </w:r>
      <w:proofErr w:type="gramEnd"/>
      <w:r w:rsidRPr="00437FB5">
        <w:t xml:space="preserve"> and regulations. It is a process to account for what an organisation is required to implement and how an organisation may be resisting that. For example, the </w:t>
      </w:r>
      <w:r w:rsidRPr="007E4EF0">
        <w:rPr>
          <w:i/>
          <w:iCs/>
        </w:rPr>
        <w:t>Gender Equality Act</w:t>
      </w:r>
      <w:r w:rsidRPr="00437FB5">
        <w:t xml:space="preserve"> in Victoria is legislation that requires defined entities to operationalise and implement certain obligations internally with timelines and deliverables such as Gender Action Plans. </w:t>
      </w:r>
    </w:p>
    <w:p w14:paraId="5C16CFBF" w14:textId="77777777" w:rsidR="00015ABE" w:rsidRDefault="00015ABE" w:rsidP="00015ABE"/>
    <w:p w14:paraId="5D8DB200" w14:textId="2059452B" w:rsidR="00015ABE" w:rsidRPr="00015ABE" w:rsidRDefault="00015ABE" w:rsidP="00015ABE">
      <w:r w:rsidRPr="00437FB5">
        <w:t xml:space="preserve">This theme </w:t>
      </w:r>
      <w:r>
        <w:t>recommends</w:t>
      </w:r>
      <w:r w:rsidRPr="00437FB5">
        <w:t xml:space="preserve"> organisations reflect on how they have adapted mechanisms like the </w:t>
      </w:r>
      <w:r w:rsidRPr="00C4511B">
        <w:rPr>
          <w:i/>
          <w:iCs/>
        </w:rPr>
        <w:t>Gender Equality Act</w:t>
      </w:r>
      <w:r w:rsidRPr="00437FB5">
        <w:t>, to suit the context of their organisation and how they monitor and evaluate the success or failures of an initiative. In doing so</w:t>
      </w:r>
      <w:r>
        <w:t xml:space="preserve"> </w:t>
      </w:r>
      <w:r w:rsidRPr="00437FB5">
        <w:t xml:space="preserve">practitioners can identify the different forms of resistance to a specific law, policy, </w:t>
      </w:r>
      <w:proofErr w:type="gramStart"/>
      <w:r w:rsidRPr="00437FB5">
        <w:t>rule</w:t>
      </w:r>
      <w:proofErr w:type="gramEnd"/>
      <w:r w:rsidRPr="00437FB5">
        <w:t xml:space="preserve"> and regulation and what they need to do to respond to it. </w:t>
      </w:r>
    </w:p>
    <w:p w14:paraId="6299521C" w14:textId="7CCE75BD" w:rsidR="00015ABE" w:rsidRPr="007F50DB" w:rsidRDefault="00015ABE" w:rsidP="007F50DB">
      <w:pPr>
        <w:pStyle w:val="Mainbody-subheadings"/>
      </w:pPr>
      <w:bookmarkStart w:id="92" w:name="_Toc85620739"/>
      <w:bookmarkStart w:id="93" w:name="_Toc87526326"/>
      <w:r w:rsidRPr="007F50DB">
        <w:t>Follow the organisational policies and practice</w:t>
      </w:r>
      <w:bookmarkEnd w:id="92"/>
      <w:bookmarkEnd w:id="93"/>
    </w:p>
    <w:p w14:paraId="78DC8E37" w14:textId="03786949" w:rsidR="00015ABE" w:rsidRDefault="00015ABE" w:rsidP="00015ABE">
      <w:r w:rsidRPr="00437FB5">
        <w:t xml:space="preserve">Internal organisational policies and practices includes aspects like Workplace, Equality and Respect initiatives, sexual harassment policies, domestic violence leave, flexible working arrangements, or an organisational gender equality policy or statement. This theme includes thinking through formal and informal practices that may be ‘unwritten’ like hiring and promotion practices, programs and activities like leadership or mentoring programs for women. For example, is there an informal practice that sees senior men unwilling to mentor women? Is a belief in meritocracy something that is prioritised over diversity </w:t>
      </w:r>
      <w:r w:rsidRPr="00437FB5">
        <w:t>in hiring practices? This theme asks organisations to reflect on their internal architecture.</w:t>
      </w:r>
    </w:p>
    <w:p w14:paraId="1A7ABA42" w14:textId="0EC512B3" w:rsidR="00015ABE" w:rsidRPr="007F50DB" w:rsidRDefault="00015ABE" w:rsidP="007F50DB">
      <w:pPr>
        <w:pStyle w:val="Mainbody-subheadings"/>
      </w:pPr>
      <w:bookmarkStart w:id="94" w:name="_Toc85620740"/>
      <w:bookmarkStart w:id="95" w:name="_Toc87526327"/>
      <w:r w:rsidRPr="007F50DB">
        <w:t>Follow the resources</w:t>
      </w:r>
      <w:bookmarkEnd w:id="94"/>
      <w:bookmarkEnd w:id="95"/>
    </w:p>
    <w:p w14:paraId="7D5F4492" w14:textId="77777777" w:rsidR="00015ABE" w:rsidRDefault="00015ABE" w:rsidP="00015ABE">
      <w:r w:rsidRPr="00437FB5">
        <w:t xml:space="preserve">Adequate resource flows are critical for any progress towards gendered transformational change. This includes allocation and distribution of financial and human resources, gender expertise and dissemination of information, and coordination and communication about goals, </w:t>
      </w:r>
      <w:proofErr w:type="gramStart"/>
      <w:r w:rsidRPr="00437FB5">
        <w:t>opportunities</w:t>
      </w:r>
      <w:proofErr w:type="gramEnd"/>
      <w:r w:rsidRPr="00437FB5">
        <w:t xml:space="preserve"> and outcomes. </w:t>
      </w:r>
    </w:p>
    <w:p w14:paraId="21BCF4B1" w14:textId="77777777" w:rsidR="00015ABE" w:rsidRDefault="00015ABE" w:rsidP="00015ABE"/>
    <w:p w14:paraId="4570FBDA" w14:textId="3C54E9F4" w:rsidR="00015ABE" w:rsidRDefault="00015ABE" w:rsidP="00015ABE">
      <w:r w:rsidRPr="00437FB5">
        <w:t xml:space="preserve">This theme </w:t>
      </w:r>
      <w:r>
        <w:t>recommends</w:t>
      </w:r>
      <w:r w:rsidRPr="00437FB5">
        <w:t xml:space="preserve"> reflect</w:t>
      </w:r>
      <w:r>
        <w:t>ion</w:t>
      </w:r>
      <w:r w:rsidRPr="00437FB5">
        <w:t xml:space="preserve"> not only on how </w:t>
      </w:r>
      <w:r>
        <w:t xml:space="preserve">organisations use </w:t>
      </w:r>
      <w:r w:rsidRPr="00437FB5">
        <w:t>resources to support implementation and operationalisation, but also what type of resources they are using (</w:t>
      </w:r>
      <w:proofErr w:type="gramStart"/>
      <w:r w:rsidRPr="00437FB5">
        <w:t>e.g.</w:t>
      </w:r>
      <w:proofErr w:type="gramEnd"/>
      <w:r w:rsidRPr="00437FB5">
        <w:t xml:space="preserve"> knowledge) and whether these are coordinated and supported across the organisation or whether the change process is siloed. If primary prevention is given low organisational and institutional priority, this will reduce engagement and investment with the change process. This lack of prioritisation will reduce the long-term sustainability of gender transformational change.</w:t>
      </w:r>
    </w:p>
    <w:p w14:paraId="53477818" w14:textId="4B2CAEAE" w:rsidR="00015ABE" w:rsidRPr="007F50DB" w:rsidRDefault="00015ABE" w:rsidP="007F50DB">
      <w:pPr>
        <w:pStyle w:val="Mainbody-subheadings"/>
      </w:pPr>
      <w:bookmarkStart w:id="96" w:name="_Toc85620741"/>
      <w:bookmarkStart w:id="97" w:name="_Toc87526328"/>
      <w:r w:rsidRPr="007F50DB">
        <w:t>Follow the leaders, power, and decision making</w:t>
      </w:r>
      <w:bookmarkEnd w:id="96"/>
      <w:bookmarkEnd w:id="97"/>
    </w:p>
    <w:p w14:paraId="0E738615" w14:textId="77777777" w:rsidR="00015ABE" w:rsidRDefault="00015ABE" w:rsidP="00015ABE">
      <w:r w:rsidRPr="00437FB5">
        <w:t>This theme asks organisations to reflect on the distribution of decision-making power, authority and formal and informal influence among individuals and organisations (</w:t>
      </w:r>
      <w:proofErr w:type="spellStart"/>
      <w:r w:rsidRPr="00437FB5">
        <w:t>Kaina</w:t>
      </w:r>
      <w:proofErr w:type="spellEnd"/>
      <w:r w:rsidRPr="00437FB5">
        <w:t xml:space="preserve"> et al., 2018). For example, is there </w:t>
      </w:r>
      <w:r w:rsidRPr="36D638BE">
        <w:t>a</w:t>
      </w:r>
      <w:r w:rsidRPr="00437FB5">
        <w:t xml:space="preserve"> difference between leadership’s formal commitments and the kinds of informal comments made about gender equality in the break room? Are there different standards for women, men and LGBTIQ+ leaders? </w:t>
      </w:r>
    </w:p>
    <w:p w14:paraId="68265768" w14:textId="77777777" w:rsidR="00015ABE" w:rsidRDefault="00015ABE" w:rsidP="00015ABE"/>
    <w:p w14:paraId="56C2D855" w14:textId="327AD684" w:rsidR="00015ABE" w:rsidRDefault="00015ABE" w:rsidP="00015ABE">
      <w:r w:rsidRPr="00437FB5">
        <w:t xml:space="preserve">Additionally, it asks how the formal </w:t>
      </w:r>
      <w:r w:rsidRPr="00437FB5">
        <w:lastRenderedPageBreak/>
        <w:t>institutional architecture has been adapted into internal organisational structures, (e.g., have policy frameworks been watered down?). It also contains prompts to reflect on how and where decisions are being made (e.g., are they made during informal socialising in contexts where some individuals may not feel welcome or accepted?).</w:t>
      </w:r>
    </w:p>
    <w:p w14:paraId="2EEE5D5C" w14:textId="120F1178" w:rsidR="00015ABE" w:rsidRPr="007F50DB" w:rsidRDefault="00015ABE" w:rsidP="007F50DB">
      <w:pPr>
        <w:pStyle w:val="Mainbody-subheadings"/>
      </w:pPr>
      <w:bookmarkStart w:id="98" w:name="_Toc85620742"/>
      <w:bookmarkStart w:id="99" w:name="_Toc87526329"/>
      <w:r w:rsidRPr="007F50DB">
        <w:t xml:space="preserve">Follow the culture, </w:t>
      </w:r>
      <w:proofErr w:type="gramStart"/>
      <w:r w:rsidRPr="007F50DB">
        <w:t>attitudes</w:t>
      </w:r>
      <w:proofErr w:type="gramEnd"/>
      <w:r w:rsidRPr="007F50DB">
        <w:t xml:space="preserve"> and behaviours</w:t>
      </w:r>
      <w:bookmarkEnd w:id="98"/>
      <w:bookmarkEnd w:id="99"/>
    </w:p>
    <w:p w14:paraId="0D13D0D0" w14:textId="7A0A48F8" w:rsidR="00015ABE" w:rsidRDefault="00015ABE" w:rsidP="00015ABE">
      <w:r w:rsidRPr="00437FB5">
        <w:t xml:space="preserve">This final theme focuses on the dominant institutional and organisational culture, </w:t>
      </w:r>
      <w:proofErr w:type="gramStart"/>
      <w:r w:rsidRPr="00437FB5">
        <w:t>behaviours</w:t>
      </w:r>
      <w:proofErr w:type="gramEnd"/>
      <w:r w:rsidRPr="00437FB5">
        <w:t xml:space="preserve"> and attitudes. For example, what kind of attitudes are condoned? Is there a strong culture of behaviours such as bystander support? How are policies such as domestic violence </w:t>
      </w:r>
      <w:proofErr w:type="gramStart"/>
      <w:r w:rsidRPr="00437FB5">
        <w:t>leave</w:t>
      </w:r>
      <w:proofErr w:type="gramEnd"/>
      <w:r w:rsidRPr="00437FB5">
        <w:t xml:space="preserve"> or flexible working arrangements perceived? This theme </w:t>
      </w:r>
      <w:r>
        <w:t>recommends</w:t>
      </w:r>
      <w:r w:rsidRPr="00437FB5">
        <w:t xml:space="preserve"> reflect</w:t>
      </w:r>
      <w:r>
        <w:t>ing</w:t>
      </w:r>
      <w:r w:rsidRPr="00437FB5">
        <w:t xml:space="preserve"> on broader community norms, </w:t>
      </w:r>
      <w:proofErr w:type="gramStart"/>
      <w:r w:rsidRPr="00437FB5">
        <w:t>practices</w:t>
      </w:r>
      <w:proofErr w:type="gramEnd"/>
      <w:r w:rsidRPr="00437FB5">
        <w:t xml:space="preserve"> and structures and how these influence </w:t>
      </w:r>
      <w:r w:rsidR="00803BF0">
        <w:t>organisations’</w:t>
      </w:r>
      <w:r w:rsidR="00E3279D">
        <w:t xml:space="preserve"> </w:t>
      </w:r>
      <w:r w:rsidRPr="00437FB5">
        <w:t>work on</w:t>
      </w:r>
      <w:r w:rsidR="00803BF0">
        <w:t xml:space="preserve"> prevention and</w:t>
      </w:r>
      <w:r w:rsidRPr="00437FB5">
        <w:t xml:space="preserve"> gender equality. </w:t>
      </w:r>
    </w:p>
    <w:p w14:paraId="4177D8DC" w14:textId="32575F53" w:rsidR="00015ABE" w:rsidRDefault="00015ABE" w:rsidP="00015ABE">
      <w:pPr>
        <w:pStyle w:val="Mainbody-subheadings"/>
      </w:pPr>
      <w:bookmarkStart w:id="100" w:name="_Toc85620743"/>
      <w:bookmarkStart w:id="101" w:name="_Toc87526330"/>
      <w:r>
        <w:t>Conclusion</w:t>
      </w:r>
      <w:bookmarkEnd w:id="100"/>
      <w:bookmarkEnd w:id="101"/>
    </w:p>
    <w:p w14:paraId="014368AA" w14:textId="27923637" w:rsidR="00015ABE" w:rsidRPr="00437FB5" w:rsidRDefault="00DE00BB" w:rsidP="00015ABE">
      <w:r w:rsidRPr="00437FB5">
        <w:t xml:space="preserve">The five themes outlined above and the different elements that make up each one attempt to capture the external and internal dynamics that influence and effect the sufficient and necessary requirements to achieve violence prevention goals, and the patterns of institutional and individual resistance interwoven in them. Through reflective </w:t>
      </w:r>
      <w:r>
        <w:t>practice</w:t>
      </w:r>
      <w:r w:rsidRPr="00437FB5">
        <w:t xml:space="preserve">, </w:t>
      </w:r>
      <w:r>
        <w:t xml:space="preserve">practitioners </w:t>
      </w:r>
      <w:r w:rsidRPr="00437FB5">
        <w:t xml:space="preserve">are asked to think about the gaps between violence prevention commitments and operationalisation and whether resistance is present. This </w:t>
      </w:r>
      <w:r>
        <w:t xml:space="preserve">can serve as a </w:t>
      </w:r>
      <w:r w:rsidRPr="00437FB5">
        <w:t xml:space="preserve">guide throughout the planning </w:t>
      </w:r>
      <w:r>
        <w:t xml:space="preserve">and establishment phase of primary prevention change initiatives </w:t>
      </w:r>
      <w:r w:rsidRPr="00437FB5">
        <w:t xml:space="preserve">and regularly revisited. For example, it can be used before the change initiative begins to understand the external context and anticipate what to ask and </w:t>
      </w:r>
      <w:r w:rsidRPr="00437FB5">
        <w:t xml:space="preserve">watch out for </w:t>
      </w:r>
      <w:proofErr w:type="gramStart"/>
      <w:r w:rsidRPr="00437FB5">
        <w:t>in order to</w:t>
      </w:r>
      <w:proofErr w:type="gramEnd"/>
      <w:r w:rsidRPr="00437FB5">
        <w:t xml:space="preserve"> minimise and avoid resistance, and it can be revisited at several points during implementation and evaluation to identify ongoing resistance to help inform the development of strategies to respond.</w:t>
      </w:r>
    </w:p>
    <w:p w14:paraId="73C04743" w14:textId="77777777" w:rsidR="00DE00BB" w:rsidRDefault="00DE00BB" w:rsidP="00015ABE">
      <w:pPr>
        <w:sectPr w:rsidR="00DE00BB" w:rsidSect="00DE00BB">
          <w:type w:val="continuous"/>
          <w:pgSz w:w="11900" w:h="16850"/>
          <w:pgMar w:top="1340" w:right="1060" w:bottom="1020" w:left="860" w:header="567" w:footer="824" w:gutter="0"/>
          <w:cols w:num="2" w:space="720"/>
          <w:docGrid w:linePitch="299"/>
        </w:sectPr>
      </w:pPr>
    </w:p>
    <w:p w14:paraId="662AA954" w14:textId="051572A1" w:rsidR="00E77B48" w:rsidRPr="001568F2" w:rsidRDefault="00DE00BB" w:rsidP="008E06F4">
      <w:pPr>
        <w:pStyle w:val="Mainbody-Headings"/>
      </w:pPr>
      <w:bookmarkStart w:id="102" w:name="_Toc85620744"/>
      <w:bookmarkStart w:id="103" w:name="_Toc87526331"/>
      <w:r>
        <w:lastRenderedPageBreak/>
        <w:t>Part 5</w:t>
      </w:r>
      <w:r w:rsidR="00CC17BE">
        <w:t xml:space="preserve"> - </w:t>
      </w:r>
      <w:r>
        <w:t>Responding to Resistance &amp; Backlash</w:t>
      </w:r>
      <w:bookmarkEnd w:id="102"/>
      <w:bookmarkEnd w:id="103"/>
      <w:r>
        <w:t xml:space="preserve"> </w:t>
      </w:r>
    </w:p>
    <w:p w14:paraId="43CE8281" w14:textId="77777777" w:rsidR="002150FD" w:rsidRDefault="002150FD" w:rsidP="00D6693D">
      <w:pPr>
        <w:pStyle w:val="BodyText1"/>
      </w:pPr>
    </w:p>
    <w:p w14:paraId="09319FA6" w14:textId="77777777" w:rsidR="002150FD" w:rsidRDefault="002150FD" w:rsidP="00D6693D">
      <w:pPr>
        <w:pStyle w:val="BodyText1"/>
        <w:sectPr w:rsidR="002150FD" w:rsidSect="00DE00BB">
          <w:pgSz w:w="11900" w:h="16850"/>
          <w:pgMar w:top="1340" w:right="1060" w:bottom="1020" w:left="860" w:header="567" w:footer="824" w:gutter="0"/>
          <w:cols w:space="720"/>
          <w:docGrid w:linePitch="299"/>
        </w:sectPr>
      </w:pPr>
    </w:p>
    <w:p w14:paraId="63D02C4A" w14:textId="26F14D8A" w:rsidR="00DE00BB" w:rsidRDefault="00DE00BB" w:rsidP="00DE00BB">
      <w:pPr>
        <w:rPr>
          <w:rFonts w:cs="Calibri"/>
          <w:color w:val="000000" w:themeColor="text1"/>
        </w:rPr>
      </w:pPr>
      <w:r w:rsidRPr="00437FB5">
        <w:rPr>
          <w:rFonts w:cs="Calibri"/>
          <w:color w:val="000000" w:themeColor="text1"/>
        </w:rPr>
        <w:t xml:space="preserve">Resistance is a common reaction to change, where something disrupts taken for granted norms, practices and structures that are seen as ‘traditional’, ‘natural’ or ‘the way things have always been done’. Primary prevention of violence against women often challenges deeply held beliefs, </w:t>
      </w:r>
      <w:r>
        <w:rPr>
          <w:rFonts w:cs="Calibri"/>
          <w:color w:val="000000" w:themeColor="text1"/>
        </w:rPr>
        <w:t xml:space="preserve">norms, </w:t>
      </w:r>
      <w:proofErr w:type="gramStart"/>
      <w:r w:rsidRPr="00437FB5">
        <w:rPr>
          <w:rFonts w:cs="Calibri"/>
          <w:color w:val="000000" w:themeColor="text1"/>
        </w:rPr>
        <w:t>values</w:t>
      </w:r>
      <w:proofErr w:type="gramEnd"/>
      <w:r w:rsidRPr="00437FB5">
        <w:rPr>
          <w:rFonts w:cs="Calibri"/>
          <w:color w:val="000000" w:themeColor="text1"/>
        </w:rPr>
        <w:t xml:space="preserve"> and ideologies. However, resistance to primary prevention efforts does not always have to be framed in terms of a negative phenomenon. It can be indication that transformation is occurring</w:t>
      </w:r>
      <w:r>
        <w:rPr>
          <w:rFonts w:cs="Calibri"/>
          <w:color w:val="000000" w:themeColor="text1"/>
        </w:rPr>
        <w:t xml:space="preserve">. It can also </w:t>
      </w:r>
      <w:r w:rsidRPr="00437FB5">
        <w:rPr>
          <w:rFonts w:cs="Calibri"/>
          <w:color w:val="000000" w:themeColor="text1"/>
        </w:rPr>
        <w:t xml:space="preserve">provide a learning opportunity </w:t>
      </w:r>
      <w:r>
        <w:rPr>
          <w:rFonts w:cs="Calibri"/>
          <w:color w:val="000000" w:themeColor="text1"/>
        </w:rPr>
        <w:t xml:space="preserve">for prevention practitioners; exploring and trying to </w:t>
      </w:r>
      <w:r w:rsidRPr="00437FB5">
        <w:rPr>
          <w:rFonts w:cs="Calibri"/>
          <w:color w:val="000000" w:themeColor="text1"/>
        </w:rPr>
        <w:t>understand why resistance is occurring</w:t>
      </w:r>
      <w:r>
        <w:rPr>
          <w:rFonts w:cs="Calibri"/>
          <w:color w:val="000000" w:themeColor="text1"/>
        </w:rPr>
        <w:t xml:space="preserve"> and what form it is taking</w:t>
      </w:r>
      <w:r w:rsidRPr="00437FB5">
        <w:rPr>
          <w:rFonts w:cs="Calibri"/>
          <w:color w:val="000000" w:themeColor="text1"/>
        </w:rPr>
        <w:t xml:space="preserve">, can help changemakers to respond in appropriate and effective ways that </w:t>
      </w:r>
      <w:r>
        <w:rPr>
          <w:rFonts w:cs="Calibri"/>
          <w:color w:val="000000" w:themeColor="text1"/>
        </w:rPr>
        <w:t xml:space="preserve">help reduce resistance and </w:t>
      </w:r>
      <w:r w:rsidRPr="00437FB5">
        <w:rPr>
          <w:rFonts w:cs="Calibri"/>
          <w:color w:val="000000" w:themeColor="text1"/>
        </w:rPr>
        <w:t xml:space="preserve">build engagement and support for the change. </w:t>
      </w:r>
    </w:p>
    <w:p w14:paraId="24B90A9B" w14:textId="69D8A5A9" w:rsidR="00DE00BB" w:rsidRDefault="00DE00BB" w:rsidP="00DE00BB">
      <w:pPr>
        <w:rPr>
          <w:rFonts w:cs="Calibri"/>
          <w:color w:val="000000" w:themeColor="text1"/>
        </w:rPr>
      </w:pPr>
    </w:p>
    <w:p w14:paraId="4F4C9EC3" w14:textId="77777777" w:rsidR="00DE00BB" w:rsidRPr="00437FB5" w:rsidRDefault="00DE00BB" w:rsidP="00DE00BB">
      <w:pPr>
        <w:pStyle w:val="IntenseQuote"/>
        <w:rPr>
          <w:sz w:val="24"/>
        </w:rPr>
      </w:pPr>
      <w:r w:rsidRPr="00437FB5">
        <w:rPr>
          <w:sz w:val="24"/>
        </w:rPr>
        <w:t>In some ways I've always felt like resistance is a gift because it teaches you about what is the actual nature of the problem and if you're not experiencing resistance, you haven't found it yet</w:t>
      </w:r>
      <w:r>
        <w:rPr>
          <w:sz w:val="24"/>
        </w:rPr>
        <w:t>.</w:t>
      </w:r>
      <w:r>
        <w:rPr>
          <w:rStyle w:val="FootnoteReference"/>
          <w:sz w:val="24"/>
        </w:rPr>
        <w:footnoteReference w:id="17"/>
      </w:r>
    </w:p>
    <w:p w14:paraId="49738DBC" w14:textId="77777777" w:rsidR="00DE00BB" w:rsidRPr="00437FB5" w:rsidRDefault="00DE00BB" w:rsidP="00DE00BB"/>
    <w:p w14:paraId="7111388A" w14:textId="77777777" w:rsidR="00DE00BB" w:rsidRPr="00437FB5" w:rsidRDefault="00DE00BB" w:rsidP="00DE00BB">
      <w:r w:rsidRPr="00437FB5">
        <w:t xml:space="preserve">Two types of strategies are explored in the following sections. The first set of strategies are actions that </w:t>
      </w:r>
      <w:r>
        <w:t>aim</w:t>
      </w:r>
      <w:r w:rsidRPr="00437FB5">
        <w:t xml:space="preserve"> to </w:t>
      </w:r>
      <w:r w:rsidRPr="00437FB5">
        <w:rPr>
          <w:b/>
        </w:rPr>
        <w:t>minimise</w:t>
      </w:r>
      <w:r w:rsidRPr="00437FB5">
        <w:t xml:space="preserve"> resistance and backlash to primary prevention change initiatives in organisational settings. These strategies prioritise transparency around the initiative, collaboration and networking, and individual and organisational self-reflection. </w:t>
      </w:r>
      <w:r w:rsidRPr="00437FB5">
        <w:t xml:space="preserve">The second set of strategies look at ways to </w:t>
      </w:r>
      <w:r w:rsidRPr="00437FB5">
        <w:rPr>
          <w:b/>
        </w:rPr>
        <w:t>respond</w:t>
      </w:r>
      <w:r w:rsidRPr="00437FB5">
        <w:t xml:space="preserve"> to resistance and backlash, although many minimising strategies can be carried over into response activities. The final section begins to conceptualise what opposing actions </w:t>
      </w:r>
      <w:r>
        <w:t>or outcomes</w:t>
      </w:r>
      <w:r w:rsidRPr="00437FB5">
        <w:t xml:space="preserve"> could look like to correspond with the 8 forms of resistance and backlash described earlier. Using the monitoring resistance and backlash </w:t>
      </w:r>
      <w:r>
        <w:t>approach</w:t>
      </w:r>
      <w:r w:rsidRPr="00437FB5">
        <w:t xml:space="preserve"> and other tools to ascertain readiness for the introduction of primary prevention (Part 4) will indicate where energies need to be focused to minimise and respond to resistance. </w:t>
      </w:r>
    </w:p>
    <w:p w14:paraId="291D43D0" w14:textId="3678D704" w:rsidR="00DE00BB" w:rsidRPr="00EB4F29" w:rsidRDefault="00DE00BB" w:rsidP="00DE00BB">
      <w:pPr>
        <w:pStyle w:val="Heading2"/>
      </w:pPr>
      <w:bookmarkStart w:id="104" w:name="_Toc85032921"/>
      <w:bookmarkStart w:id="105" w:name="_Toc85620745"/>
      <w:bookmarkStart w:id="106" w:name="_Toc87526332"/>
      <w:r w:rsidRPr="00EB4F29">
        <w:t>Strategies to minimise resistance and backlash</w:t>
      </w:r>
      <w:bookmarkEnd w:id="104"/>
      <w:bookmarkEnd w:id="105"/>
      <w:bookmarkEnd w:id="106"/>
    </w:p>
    <w:p w14:paraId="74860933" w14:textId="77777777" w:rsidR="00DE00BB" w:rsidRDefault="00DE00BB" w:rsidP="00DE00BB">
      <w:r w:rsidRPr="00437FB5">
        <w:t xml:space="preserve">Institutional and organisational contexts will differ, but a key aspect of minimising resistance and backlash is to plan for how it might manifest and anticipate from whom and where in the institutional and organisational structures resistance may emerge. Planning for resistance should become part of overall planning for prevention activities and be considered at all stages of the prevention cycle (understand, explore, plan, implement, </w:t>
      </w:r>
      <w:proofErr w:type="gramStart"/>
      <w:r w:rsidRPr="00437FB5">
        <w:t>evaluate</w:t>
      </w:r>
      <w:proofErr w:type="gramEnd"/>
      <w:r w:rsidRPr="00437FB5">
        <w:t xml:space="preserve"> and learn) (Our Watch </w:t>
      </w:r>
      <w:r>
        <w:t xml:space="preserve">2017, </w:t>
      </w:r>
      <w:r w:rsidRPr="00437FB5">
        <w:t xml:space="preserve">p. 109). </w:t>
      </w:r>
    </w:p>
    <w:p w14:paraId="2AB19EF5" w14:textId="77777777" w:rsidR="00DE00BB" w:rsidRDefault="00DE00BB" w:rsidP="00DE00BB"/>
    <w:p w14:paraId="42DF2A3B" w14:textId="551BE874" w:rsidR="00DE00BB" w:rsidRDefault="00DE00BB" w:rsidP="00DE00BB">
      <w:r w:rsidRPr="00437FB5">
        <w:t xml:space="preserve">When meeting resistance, it can serve as a reminder to revisit this planning cycle, to keep checking back in and </w:t>
      </w:r>
      <w:r>
        <w:t xml:space="preserve">considering </w:t>
      </w:r>
      <w:r w:rsidRPr="00437FB5">
        <w:t xml:space="preserve">what needs more work to strengthen the approach to primary prevention of violence against women. </w:t>
      </w:r>
    </w:p>
    <w:p w14:paraId="0663E065" w14:textId="77777777" w:rsidR="00DE00BB" w:rsidRDefault="00DE00BB" w:rsidP="00DE00BB"/>
    <w:p w14:paraId="31D8876E" w14:textId="77777777" w:rsidR="0041217E" w:rsidRDefault="00DE00BB" w:rsidP="000F1F81">
      <w:r w:rsidRPr="00437FB5">
        <w:t xml:space="preserve">The following strategies have been drawn from practice guides for implementing </w:t>
      </w:r>
      <w:r>
        <w:t xml:space="preserve">primary prevention of violence against women initiatives </w:t>
      </w:r>
      <w:r w:rsidRPr="00437FB5">
        <w:t xml:space="preserve">such as </w:t>
      </w:r>
      <w:r w:rsidRPr="00437FB5">
        <w:rPr>
          <w:i/>
          <w:iCs/>
        </w:rPr>
        <w:t xml:space="preserve">Putting prevention into practice, </w:t>
      </w:r>
      <w:r w:rsidRPr="00437FB5">
        <w:t>and Our Watch’s Workplace Equality and Respect tools and resources</w:t>
      </w:r>
      <w:r w:rsidRPr="00FD2D16">
        <w:t xml:space="preserve"> </w:t>
      </w:r>
      <w:r>
        <w:t xml:space="preserve">as well as other </w:t>
      </w:r>
      <w:r w:rsidRPr="00437FB5">
        <w:t xml:space="preserve">resources on </w:t>
      </w:r>
      <w:r>
        <w:t>institutional and organisational gendered change initiatives more broadly</w:t>
      </w:r>
      <w:r w:rsidRPr="00437FB5">
        <w:t>.</w:t>
      </w:r>
    </w:p>
    <w:p w14:paraId="5782660D" w14:textId="179E6013" w:rsidR="00DE00BB" w:rsidRDefault="00DE00BB" w:rsidP="000F1F81">
      <w:r w:rsidRPr="00437FB5">
        <w:t xml:space="preserve"> </w:t>
      </w:r>
    </w:p>
    <w:p w14:paraId="5BEF6496" w14:textId="64E99C02" w:rsidR="00DE00BB" w:rsidRPr="007F50DB" w:rsidRDefault="00DE00BB" w:rsidP="005F71E6">
      <w:pPr>
        <w:pStyle w:val="Heading3"/>
        <w:tabs>
          <w:tab w:val="left" w:pos="1418"/>
        </w:tabs>
        <w:spacing w:before="0" w:after="120"/>
        <w:rPr>
          <w:rFonts w:eastAsia="Arial" w:cs="Arial"/>
          <w:bCs/>
          <w:sz w:val="32"/>
          <w:szCs w:val="24"/>
        </w:rPr>
      </w:pPr>
      <w:bookmarkStart w:id="107" w:name="_Toc85620746"/>
      <w:bookmarkStart w:id="108" w:name="_Toc87526333"/>
      <w:r w:rsidRPr="007F50DB">
        <w:rPr>
          <w:rFonts w:eastAsia="Arial" w:cs="Arial"/>
          <w:bCs/>
          <w:sz w:val="32"/>
          <w:szCs w:val="24"/>
        </w:rPr>
        <w:t>Leadership and support</w:t>
      </w:r>
      <w:bookmarkEnd w:id="107"/>
      <w:bookmarkEnd w:id="108"/>
    </w:p>
    <w:p w14:paraId="5ABE0B3A" w14:textId="77777777" w:rsidR="00DE00BB" w:rsidRDefault="00DE00BB" w:rsidP="00DE00BB">
      <w:pPr>
        <w:rPr>
          <w:lang w:eastAsia="en-GB"/>
        </w:rPr>
      </w:pPr>
      <w:r w:rsidRPr="00437FB5">
        <w:rPr>
          <w:lang w:eastAsia="en-GB"/>
        </w:rPr>
        <w:t xml:space="preserve">Effective organisational prevention of violence against women requires strong leadership endorsement, governance structures and fostering an organisational culture that consciously supports equality and respect and </w:t>
      </w:r>
      <w:r>
        <w:rPr>
          <w:lang w:eastAsia="en-GB"/>
        </w:rPr>
        <w:t>works to challenge and shift</w:t>
      </w:r>
      <w:r w:rsidRPr="00437FB5">
        <w:rPr>
          <w:lang w:eastAsia="en-GB"/>
        </w:rPr>
        <w:t xml:space="preserve"> the gendered drivers of violence against women (Our Watch 2017). </w:t>
      </w:r>
    </w:p>
    <w:p w14:paraId="6647A7A7" w14:textId="77777777" w:rsidR="00DE00BB" w:rsidRDefault="00DE00BB" w:rsidP="00DE00BB">
      <w:pPr>
        <w:rPr>
          <w:lang w:eastAsia="en-GB"/>
        </w:rPr>
      </w:pPr>
    </w:p>
    <w:p w14:paraId="3857C284" w14:textId="65F7952C" w:rsidR="00DE00BB" w:rsidRDefault="00DE00BB" w:rsidP="00DE00BB">
      <w:r>
        <w:rPr>
          <w:lang w:eastAsia="en-GB"/>
        </w:rPr>
        <w:br w:type="column"/>
      </w:r>
      <w:r w:rsidRPr="00437FB5">
        <w:rPr>
          <w:lang w:eastAsia="en-GB"/>
        </w:rPr>
        <w:t>This requires identifying key actors who have formal and informal influence</w:t>
      </w:r>
      <w:r>
        <w:rPr>
          <w:lang w:eastAsia="en-GB"/>
        </w:rPr>
        <w:t>, who can help</w:t>
      </w:r>
      <w:r w:rsidRPr="00437FB5">
        <w:rPr>
          <w:lang w:eastAsia="en-GB"/>
        </w:rPr>
        <w:t xml:space="preserve"> to change formal mechanisms, </w:t>
      </w:r>
      <w:proofErr w:type="gramStart"/>
      <w:r w:rsidRPr="00437FB5">
        <w:rPr>
          <w:lang w:eastAsia="en-GB"/>
        </w:rPr>
        <w:t>policies</w:t>
      </w:r>
      <w:proofErr w:type="gramEnd"/>
      <w:r w:rsidRPr="00437FB5">
        <w:rPr>
          <w:lang w:eastAsia="en-GB"/>
        </w:rPr>
        <w:t xml:space="preserve"> and procedures as well as influence informal modes of institutional/organisational culture and those around them. It may be useful to undertake a process of stakeholder mapping to help identify the key or influential individuals, gatekeepers, and champions of change (Our Watch 2017</w:t>
      </w:r>
      <w:r>
        <w:rPr>
          <w:lang w:eastAsia="en-GB"/>
        </w:rPr>
        <w:t>)</w:t>
      </w:r>
      <w:r w:rsidRPr="00437FB5">
        <w:rPr>
          <w:lang w:eastAsia="en-GB"/>
        </w:rPr>
        <w:t>.</w:t>
      </w:r>
    </w:p>
    <w:p w14:paraId="13F30213" w14:textId="6CA35583" w:rsidR="00DE00BB" w:rsidRDefault="00DE00BB" w:rsidP="00DE00BB"/>
    <w:p w14:paraId="58A96BD7" w14:textId="77777777" w:rsidR="00DE00BB" w:rsidRDefault="00DE00BB" w:rsidP="00DE00BB">
      <w:pPr>
        <w:rPr>
          <w:lang w:eastAsia="en-GB"/>
        </w:rPr>
        <w:sectPr w:rsidR="00DE00BB" w:rsidSect="008441EC">
          <w:type w:val="continuous"/>
          <w:pgSz w:w="11900" w:h="16850"/>
          <w:pgMar w:top="1340" w:right="1060" w:bottom="1020" w:left="860" w:header="567" w:footer="824" w:gutter="0"/>
          <w:cols w:num="2" w:space="720"/>
          <w:docGrid w:linePitch="299"/>
        </w:sectPr>
      </w:pPr>
      <w:r w:rsidRPr="00437FB5">
        <w:rPr>
          <w:lang w:eastAsia="en-GB"/>
        </w:rPr>
        <w:t>Getting leaders on board to support primary prevention helps ensure the allocation of adequate resources and time to the change initiative.</w:t>
      </w:r>
      <w:r>
        <w:rPr>
          <w:lang w:eastAsia="en-GB"/>
        </w:rPr>
        <w:t xml:space="preserve"> Encouraging organisations to formally or explicitly ‘opt in’ to primary prevention interventions helps ensure there is a level of existing leadership commitment and allows more effective scale-up of programs (Our Watch 2021, p. 47).</w:t>
      </w:r>
    </w:p>
    <w:p w14:paraId="03BDAE69" w14:textId="66229B37" w:rsidR="00DE00BB" w:rsidRDefault="00DE00BB" w:rsidP="00DE00BB">
      <w:pPr>
        <w:rPr>
          <w:lang w:eastAsia="en-GB"/>
        </w:rPr>
      </w:pPr>
    </w:p>
    <w:p w14:paraId="4A7A1CA9" w14:textId="77777777" w:rsidR="00DE00BB" w:rsidRDefault="00DE00BB" w:rsidP="00DE00BB">
      <w:pPr>
        <w:rPr>
          <w:lang w:eastAsia="en-GB"/>
        </w:rPr>
      </w:pPr>
    </w:p>
    <w:p w14:paraId="49AA61C6" w14:textId="4437BC45" w:rsidR="00DE00BB" w:rsidRDefault="00DE00BB" w:rsidP="00DE00BB">
      <w:pPr>
        <w:rPr>
          <w:lang w:eastAsia="en-GB"/>
        </w:rPr>
      </w:pPr>
      <w:r>
        <w:rPr>
          <w:rFonts w:cstheme="minorHAnsi"/>
          <w:b/>
          <w:noProof/>
          <w:color w:val="2B579A"/>
          <w:shd w:val="clear" w:color="auto" w:fill="E6E6E6"/>
        </w:rPr>
        <mc:AlternateContent>
          <mc:Choice Requires="wps">
            <w:drawing>
              <wp:anchor distT="0" distB="0" distL="114300" distR="114300" simplePos="0" relativeHeight="251723776" behindDoc="0" locked="0" layoutInCell="1" allowOverlap="1" wp14:anchorId="4B951085" wp14:editId="79FDA882">
                <wp:simplePos x="0" y="0"/>
                <wp:positionH relativeFrom="margin">
                  <wp:align>right</wp:align>
                </wp:positionH>
                <wp:positionV relativeFrom="paragraph">
                  <wp:posOffset>8314</wp:posOffset>
                </wp:positionV>
                <wp:extent cx="2658139" cy="3125972"/>
                <wp:effectExtent l="0" t="0" r="8890" b="0"/>
                <wp:wrapNone/>
                <wp:docPr id="28" name="Text Box 28"/>
                <wp:cNvGraphicFramePr/>
                <a:graphic xmlns:a="http://schemas.openxmlformats.org/drawingml/2006/main">
                  <a:graphicData uri="http://schemas.microsoft.com/office/word/2010/wordprocessingShape">
                    <wps:wsp>
                      <wps:cNvSpPr txBox="1"/>
                      <wps:spPr>
                        <a:xfrm>
                          <a:off x="0" y="0"/>
                          <a:ext cx="2658139" cy="3125972"/>
                        </a:xfrm>
                        <a:prstGeom prst="rect">
                          <a:avLst/>
                        </a:prstGeom>
                        <a:solidFill>
                          <a:schemeClr val="lt1"/>
                        </a:solidFill>
                        <a:ln w="6350">
                          <a:noFill/>
                        </a:ln>
                      </wps:spPr>
                      <wps:txbx>
                        <w:txbxContent>
                          <w:p w14:paraId="2160B200" w14:textId="2D099B88" w:rsidR="007F50DB" w:rsidRPr="00DE00BB" w:rsidRDefault="007F50DB" w:rsidP="007F50DB">
                            <w:pPr>
                              <w:pStyle w:val="Caption"/>
                              <w:jc w:val="left"/>
                              <w:rPr>
                                <w:color w:val="F79646" w:themeColor="accent6"/>
                                <w:sz w:val="22"/>
                                <w:szCs w:val="22"/>
                              </w:rPr>
                            </w:pPr>
                            <w:bookmarkStart w:id="109" w:name="_Toc94771648"/>
                            <w:r w:rsidRPr="00DE00BB">
                              <w:rPr>
                                <w:color w:val="F79646" w:themeColor="accent6"/>
                                <w:sz w:val="22"/>
                                <w:szCs w:val="22"/>
                              </w:rPr>
                              <w:t xml:space="preserve">Figure </w:t>
                            </w:r>
                            <w:r w:rsidRPr="00DE00BB">
                              <w:rPr>
                                <w:color w:val="F79646" w:themeColor="accent6"/>
                                <w:sz w:val="22"/>
                                <w:szCs w:val="22"/>
                                <w:shd w:val="clear" w:color="auto" w:fill="E6E6E6"/>
                              </w:rPr>
                              <w:fldChar w:fldCharType="begin"/>
                            </w:r>
                            <w:r w:rsidRPr="00DE00BB">
                              <w:rPr>
                                <w:color w:val="F79646" w:themeColor="accent6"/>
                                <w:sz w:val="22"/>
                                <w:szCs w:val="22"/>
                              </w:rPr>
                              <w:instrText>SEQ Figure \* ARABIC</w:instrText>
                            </w:r>
                            <w:r w:rsidRPr="00DE00BB">
                              <w:rPr>
                                <w:color w:val="F79646" w:themeColor="accent6"/>
                                <w:sz w:val="22"/>
                                <w:szCs w:val="22"/>
                                <w:shd w:val="clear" w:color="auto" w:fill="E6E6E6"/>
                              </w:rPr>
                              <w:fldChar w:fldCharType="separate"/>
                            </w:r>
                            <w:r w:rsidR="00D93EBF">
                              <w:rPr>
                                <w:noProof/>
                                <w:color w:val="F79646" w:themeColor="accent6"/>
                                <w:sz w:val="22"/>
                                <w:szCs w:val="22"/>
                              </w:rPr>
                              <w:t>5</w:t>
                            </w:r>
                            <w:r w:rsidRPr="00DE00BB">
                              <w:rPr>
                                <w:color w:val="F79646" w:themeColor="accent6"/>
                                <w:sz w:val="22"/>
                                <w:szCs w:val="22"/>
                                <w:shd w:val="clear" w:color="auto" w:fill="E6E6E6"/>
                              </w:rPr>
                              <w:fldChar w:fldCharType="end"/>
                            </w:r>
                            <w:r w:rsidRPr="00DE00BB">
                              <w:rPr>
                                <w:color w:val="F79646" w:themeColor="accent6"/>
                                <w:sz w:val="22"/>
                                <w:szCs w:val="22"/>
                              </w:rPr>
                              <w:t xml:space="preserve"> Stakeholder mapping matrix</w:t>
                            </w:r>
                            <w:bookmarkEnd w:id="109"/>
                          </w:p>
                          <w:p w14:paraId="15998018" w14:textId="77777777" w:rsidR="007F50DB" w:rsidRPr="00DE00BB" w:rsidRDefault="007F50DB" w:rsidP="00DE00BB">
                            <w:pPr>
                              <w:rPr>
                                <w:lang w:eastAsia="en-GB"/>
                              </w:rPr>
                            </w:pPr>
                            <w:r w:rsidRPr="00DE00BB">
                              <w:rPr>
                                <w:lang w:eastAsia="en-GB"/>
                              </w:rPr>
                              <w:t xml:space="preserve">Use this matrix to identify the key stakeholders who will influence or be impacted by your prevention strategy remembering that every sector, institution, organisation, </w:t>
                            </w:r>
                            <w:proofErr w:type="gramStart"/>
                            <w:r w:rsidRPr="00DE00BB">
                              <w:rPr>
                                <w:lang w:eastAsia="en-GB"/>
                              </w:rPr>
                              <w:t>community</w:t>
                            </w:r>
                            <w:proofErr w:type="gramEnd"/>
                            <w:r w:rsidRPr="00DE00BB">
                              <w:rPr>
                                <w:lang w:eastAsia="en-GB"/>
                              </w:rPr>
                              <w:t xml:space="preserve"> and individual has a potential role to play in preventing violence against women. The matrix can also help identify who might be invisible or excluded from a stakeholder mapping process through the inclusion of key questions to assist with making the stakeholder group gender equitable and inclusive (Our Watch 2017). </w:t>
                            </w:r>
                          </w:p>
                          <w:p w14:paraId="3CD3E73E" w14:textId="77777777" w:rsidR="007F50DB" w:rsidRPr="002C2A7C" w:rsidRDefault="007F50DB" w:rsidP="00DE00BB">
                            <w:pPr>
                              <w:rPr>
                                <w:rFonts w:asciiTheme="majorHAnsi" w:hAnsiTheme="majorHAnsi" w:cstheme="majorHAnsi"/>
                                <w:sz w:val="20"/>
                                <w:szCs w:val="20"/>
                              </w:rPr>
                            </w:pPr>
                          </w:p>
                          <w:p w14:paraId="285B1D27" w14:textId="77777777" w:rsidR="007F50DB" w:rsidRPr="002C2A7C" w:rsidRDefault="007F50DB" w:rsidP="00DE00B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51085" id="Text Box 28" o:spid="_x0000_s1036" type="#_x0000_t202" style="position:absolute;margin-left:158.1pt;margin-top:.65pt;width:209.3pt;height:246.1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" fillcolor="white [3201]" stroked="f" strokeweight=".5pt">
                <v:textbox>
                  <w:txbxContent>
                    <w:p w14:paraId="2160B200" w14:textId="2D099B88" w:rsidR="007F50DB" w:rsidRPr="00DE00BB" w:rsidRDefault="007F50DB" w:rsidP="007F50DB">
                      <w:pPr>
                        <w:pStyle w:val="Caption"/>
                        <w:jc w:val="left"/>
                        <w:rPr>
                          <w:color w:val="F79646" w:themeColor="accent6"/>
                          <w:sz w:val="22"/>
                          <w:szCs w:val="22"/>
                        </w:rPr>
                      </w:pPr>
                      <w:bookmarkStart w:id="113" w:name="_Toc94771648"/>
                      <w:r w:rsidRPr="00DE00BB">
                        <w:rPr>
                          <w:color w:val="F79646" w:themeColor="accent6"/>
                          <w:sz w:val="22"/>
                          <w:szCs w:val="22"/>
                        </w:rPr>
                        <w:t xml:space="preserve">Figure </w:t>
                      </w:r>
                      <w:r w:rsidRPr="00DE00BB">
                        <w:rPr>
                          <w:color w:val="F79646" w:themeColor="accent6"/>
                          <w:sz w:val="22"/>
                          <w:szCs w:val="22"/>
                          <w:shd w:val="clear" w:color="auto" w:fill="E6E6E6"/>
                        </w:rPr>
                        <w:fldChar w:fldCharType="begin"/>
                      </w:r>
                      <w:r w:rsidRPr="00DE00BB">
                        <w:rPr>
                          <w:color w:val="F79646" w:themeColor="accent6"/>
                          <w:sz w:val="22"/>
                          <w:szCs w:val="22"/>
                        </w:rPr>
                        <w:instrText>SEQ Figure \* ARABIC</w:instrText>
                      </w:r>
                      <w:r w:rsidRPr="00DE00BB">
                        <w:rPr>
                          <w:color w:val="F79646" w:themeColor="accent6"/>
                          <w:sz w:val="22"/>
                          <w:szCs w:val="22"/>
                          <w:shd w:val="clear" w:color="auto" w:fill="E6E6E6"/>
                        </w:rPr>
                        <w:fldChar w:fldCharType="separate"/>
                      </w:r>
                      <w:r w:rsidR="00D93EBF">
                        <w:rPr>
                          <w:noProof/>
                          <w:color w:val="F79646" w:themeColor="accent6"/>
                          <w:sz w:val="22"/>
                          <w:szCs w:val="22"/>
                        </w:rPr>
                        <w:t>5</w:t>
                      </w:r>
                      <w:r w:rsidRPr="00DE00BB">
                        <w:rPr>
                          <w:color w:val="F79646" w:themeColor="accent6"/>
                          <w:sz w:val="22"/>
                          <w:szCs w:val="22"/>
                          <w:shd w:val="clear" w:color="auto" w:fill="E6E6E6"/>
                        </w:rPr>
                        <w:fldChar w:fldCharType="end"/>
                      </w:r>
                      <w:r w:rsidRPr="00DE00BB">
                        <w:rPr>
                          <w:color w:val="F79646" w:themeColor="accent6"/>
                          <w:sz w:val="22"/>
                          <w:szCs w:val="22"/>
                        </w:rPr>
                        <w:t xml:space="preserve"> Stakeholder mapping matrix</w:t>
                      </w:r>
                      <w:bookmarkEnd w:id="113"/>
                    </w:p>
                    <w:p w14:paraId="15998018" w14:textId="77777777" w:rsidR="007F50DB" w:rsidRPr="00DE00BB" w:rsidRDefault="007F50DB" w:rsidP="00DE00BB">
                      <w:pPr>
                        <w:rPr>
                          <w:lang w:eastAsia="en-GB"/>
                        </w:rPr>
                      </w:pPr>
                      <w:r w:rsidRPr="00DE00BB">
                        <w:rPr>
                          <w:lang w:eastAsia="en-GB"/>
                        </w:rPr>
                        <w:t xml:space="preserve">Use this matrix to identify the key stakeholders who will influence or be impacted by your prevention strategy remembering that every sector, institution, organisation, </w:t>
                      </w:r>
                      <w:proofErr w:type="gramStart"/>
                      <w:r w:rsidRPr="00DE00BB">
                        <w:rPr>
                          <w:lang w:eastAsia="en-GB"/>
                        </w:rPr>
                        <w:t>community</w:t>
                      </w:r>
                      <w:proofErr w:type="gramEnd"/>
                      <w:r w:rsidRPr="00DE00BB">
                        <w:rPr>
                          <w:lang w:eastAsia="en-GB"/>
                        </w:rPr>
                        <w:t xml:space="preserve"> and individual has a potential role to play in preventing violence against women. The matrix can also help identify who might be invisible or excluded from a stakeholder mapping process through the inclusion of key questions to assist with making the stakeholder group gender equitable and inclusive (Our Watch 2017). </w:t>
                      </w:r>
                    </w:p>
                    <w:p w14:paraId="3CD3E73E" w14:textId="77777777" w:rsidR="007F50DB" w:rsidRPr="002C2A7C" w:rsidRDefault="007F50DB" w:rsidP="00DE00BB">
                      <w:pPr>
                        <w:rPr>
                          <w:rFonts w:asciiTheme="majorHAnsi" w:hAnsiTheme="majorHAnsi" w:cstheme="majorHAnsi"/>
                          <w:sz w:val="20"/>
                          <w:szCs w:val="20"/>
                        </w:rPr>
                      </w:pPr>
                    </w:p>
                    <w:p w14:paraId="285B1D27" w14:textId="77777777" w:rsidR="007F50DB" w:rsidRPr="002C2A7C" w:rsidRDefault="007F50DB" w:rsidP="00DE00BB">
                      <w:pPr>
                        <w:rPr>
                          <w:sz w:val="20"/>
                          <w:szCs w:val="20"/>
                        </w:rPr>
                      </w:pPr>
                    </w:p>
                  </w:txbxContent>
                </v:textbox>
                <w10:wrap anchorx="margin"/>
              </v:shape>
            </w:pict>
          </mc:Fallback>
        </mc:AlternateContent>
      </w:r>
    </w:p>
    <w:p w14:paraId="2875D5BA" w14:textId="033931CA" w:rsidR="00DE00BB" w:rsidRDefault="00DE00BB" w:rsidP="00DE00BB">
      <w:r>
        <w:rPr>
          <w:noProof/>
        </w:rPr>
        <w:drawing>
          <wp:inline distT="0" distB="0" distL="0" distR="0" wp14:anchorId="276E34C0" wp14:editId="3497D4C2">
            <wp:extent cx="3882966" cy="3221665"/>
            <wp:effectExtent l="0" t="0" r="3810" b="0"/>
            <wp:docPr id="6" name="Picture 6"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23590" cy="3255370"/>
                    </a:xfrm>
                    <a:prstGeom prst="rect">
                      <a:avLst/>
                    </a:prstGeom>
                  </pic:spPr>
                </pic:pic>
              </a:graphicData>
            </a:graphic>
          </wp:inline>
        </w:drawing>
      </w:r>
    </w:p>
    <w:p w14:paraId="102DDD3C" w14:textId="15073028" w:rsidR="00DE00BB" w:rsidRDefault="00DE00BB">
      <w:pPr>
        <w:rPr>
          <w:szCs w:val="20"/>
          <w:lang w:bidi="en-US"/>
        </w:rPr>
      </w:pPr>
      <w:bookmarkStart w:id="110" w:name="_Toc38964390"/>
      <w:bookmarkStart w:id="111" w:name="_Toc38964389"/>
      <w:r>
        <w:rPr>
          <w:lang w:bidi="en-US"/>
        </w:rPr>
        <w:br w:type="page"/>
      </w:r>
    </w:p>
    <w:p w14:paraId="1310B326" w14:textId="77777777" w:rsidR="00DE00BB" w:rsidRDefault="00DE00BB" w:rsidP="00DE00BB">
      <w:pPr>
        <w:rPr>
          <w:lang w:eastAsia="en-GB"/>
        </w:rPr>
      </w:pPr>
      <w:r w:rsidRPr="00437FB5">
        <w:rPr>
          <w:lang w:eastAsia="en-GB"/>
        </w:rPr>
        <w:lastRenderedPageBreak/>
        <w:t>However,</w:t>
      </w:r>
      <w:r>
        <w:rPr>
          <w:lang w:eastAsia="en-GB"/>
        </w:rPr>
        <w:t xml:space="preserve"> sometimes</w:t>
      </w:r>
      <w:r w:rsidRPr="00437FB5">
        <w:rPr>
          <w:lang w:eastAsia="en-GB"/>
        </w:rPr>
        <w:t xml:space="preserve"> getting leadership support can be challenging as it requires time for leaders to reflect on their own perspectives and potential biases as well as the effects of primary prevention on the broader institution and/or organisation. For instance, the Leadership Shadow model can help leaders reflect on and assess their own performance to </w:t>
      </w:r>
      <w:r>
        <w:rPr>
          <w:lang w:eastAsia="en-GB"/>
        </w:rPr>
        <w:t xml:space="preserve">determine how effectively they are </w:t>
      </w:r>
      <w:r w:rsidRPr="00437FB5">
        <w:rPr>
          <w:lang w:eastAsia="en-GB"/>
        </w:rPr>
        <w:t>support</w:t>
      </w:r>
      <w:r>
        <w:rPr>
          <w:lang w:eastAsia="en-GB"/>
        </w:rPr>
        <w:t>ing</w:t>
      </w:r>
      <w:r w:rsidRPr="00437FB5">
        <w:rPr>
          <w:lang w:eastAsia="en-GB"/>
        </w:rPr>
        <w:t xml:space="preserve"> prevention of violence and gender equality. </w:t>
      </w:r>
    </w:p>
    <w:p w14:paraId="04FF3838" w14:textId="77777777" w:rsidR="00DE00BB" w:rsidRDefault="00DE00BB" w:rsidP="00DE00BB">
      <w:pPr>
        <w:rPr>
          <w:lang w:eastAsia="en-GB"/>
        </w:rPr>
      </w:pPr>
    </w:p>
    <w:p w14:paraId="05643461" w14:textId="0A0888CC" w:rsidR="00DE00BB" w:rsidRDefault="00DE00BB" w:rsidP="00DE00BB">
      <w:pPr>
        <w:rPr>
          <w:lang w:eastAsia="en-GB"/>
        </w:rPr>
      </w:pPr>
      <w:r>
        <w:rPr>
          <w:noProof/>
          <w:color w:val="2B579A"/>
          <w:shd w:val="clear" w:color="auto" w:fill="E6E6E6"/>
          <w:lang w:eastAsia="en-GB"/>
        </w:rPr>
        <mc:AlternateContent>
          <mc:Choice Requires="wpg">
            <w:drawing>
              <wp:anchor distT="0" distB="0" distL="114300" distR="114300" simplePos="0" relativeHeight="251725824" behindDoc="0" locked="0" layoutInCell="1" allowOverlap="1" wp14:anchorId="2CBEE2A0" wp14:editId="3FA155AD">
                <wp:simplePos x="0" y="0"/>
                <wp:positionH relativeFrom="margin">
                  <wp:align>left</wp:align>
                </wp:positionH>
                <wp:positionV relativeFrom="paragraph">
                  <wp:posOffset>2324773</wp:posOffset>
                </wp:positionV>
                <wp:extent cx="3019646" cy="3359889"/>
                <wp:effectExtent l="0" t="0" r="9525" b="0"/>
                <wp:wrapSquare wrapText="bothSides"/>
                <wp:docPr id="30" name="Group 30"/>
                <wp:cNvGraphicFramePr/>
                <a:graphic xmlns:a="http://schemas.openxmlformats.org/drawingml/2006/main">
                  <a:graphicData uri="http://schemas.microsoft.com/office/word/2010/wordprocessingGroup">
                    <wpg:wgp>
                      <wpg:cNvGrpSpPr/>
                      <wpg:grpSpPr>
                        <a:xfrm>
                          <a:off x="0" y="0"/>
                          <a:ext cx="3019646" cy="3359889"/>
                          <a:chOff x="0" y="0"/>
                          <a:chExt cx="2262505" cy="2667635"/>
                        </a:xfrm>
                      </wpg:grpSpPr>
                      <pic:pic xmlns:pic="http://schemas.openxmlformats.org/drawingml/2006/picture">
                        <pic:nvPicPr>
                          <pic:cNvPr id="31" name="Picture 31" descr="Diagram&#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262505" cy="2171065"/>
                          </a:xfrm>
                          <a:prstGeom prst="rect">
                            <a:avLst/>
                          </a:prstGeom>
                        </pic:spPr>
                      </pic:pic>
                      <wps:wsp>
                        <wps:cNvPr id="2095036384" name="Text Box 2095036384"/>
                        <wps:cNvSpPr txBox="1"/>
                        <wps:spPr>
                          <a:xfrm>
                            <a:off x="190123" y="2172335"/>
                            <a:ext cx="1819275" cy="495300"/>
                          </a:xfrm>
                          <a:prstGeom prst="rect">
                            <a:avLst/>
                          </a:prstGeom>
                          <a:solidFill>
                            <a:prstClr val="white"/>
                          </a:solidFill>
                          <a:ln>
                            <a:noFill/>
                          </a:ln>
                        </wps:spPr>
                        <wps:txbx>
                          <w:txbxContent>
                            <w:p w14:paraId="060813DE" w14:textId="636B8416" w:rsidR="007F50DB" w:rsidRPr="007F50DB" w:rsidRDefault="007F50DB" w:rsidP="007F50DB">
                              <w:pPr>
                                <w:pStyle w:val="Caption"/>
                                <w:jc w:val="left"/>
                                <w:rPr>
                                  <w:color w:val="F79646" w:themeColor="accent6"/>
                                  <w:sz w:val="22"/>
                                  <w:szCs w:val="22"/>
                                </w:rPr>
                              </w:pPr>
                              <w:bookmarkStart w:id="112" w:name="_Toc94771649"/>
                              <w:r w:rsidRPr="007F50DB">
                                <w:rPr>
                                  <w:color w:val="F79646" w:themeColor="accent6"/>
                                  <w:sz w:val="22"/>
                                  <w:szCs w:val="22"/>
                                </w:rPr>
                                <w:t xml:space="preserve">Figure </w:t>
                              </w:r>
                              <w:r w:rsidRPr="007F50DB">
                                <w:rPr>
                                  <w:color w:val="F79646" w:themeColor="accent6"/>
                                  <w:sz w:val="22"/>
                                  <w:szCs w:val="22"/>
                                </w:rPr>
                                <w:fldChar w:fldCharType="begin"/>
                              </w:r>
                              <w:r w:rsidRPr="007F50DB">
                                <w:rPr>
                                  <w:color w:val="F79646" w:themeColor="accent6"/>
                                  <w:sz w:val="22"/>
                                  <w:szCs w:val="22"/>
                                </w:rPr>
                                <w:instrText>SEQ Figure \* ARABIC</w:instrText>
                              </w:r>
                              <w:r w:rsidRPr="007F50DB">
                                <w:rPr>
                                  <w:color w:val="F79646" w:themeColor="accent6"/>
                                  <w:sz w:val="22"/>
                                  <w:szCs w:val="22"/>
                                </w:rPr>
                                <w:fldChar w:fldCharType="separate"/>
                              </w:r>
                              <w:r w:rsidR="00D93EBF">
                                <w:rPr>
                                  <w:noProof/>
                                  <w:color w:val="F79646" w:themeColor="accent6"/>
                                  <w:sz w:val="22"/>
                                  <w:szCs w:val="22"/>
                                </w:rPr>
                                <w:t>6</w:t>
                              </w:r>
                              <w:r w:rsidRPr="007F50DB">
                                <w:rPr>
                                  <w:color w:val="F79646" w:themeColor="accent6"/>
                                  <w:sz w:val="22"/>
                                  <w:szCs w:val="22"/>
                                </w:rPr>
                                <w:fldChar w:fldCharType="end"/>
                              </w:r>
                              <w:r w:rsidRPr="007F50DB">
                                <w:rPr>
                                  <w:color w:val="F79646" w:themeColor="accent6"/>
                                  <w:sz w:val="22"/>
                                  <w:szCs w:val="22"/>
                                </w:rPr>
                                <w:t>: Leadership Shadow Model</w:t>
                              </w:r>
                              <w:bookmarkEnd w:id="1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BEE2A0" id="Group 30" o:spid="_x0000_s1037" style="position:absolute;margin-left:0;margin-top:183.05pt;width:237.75pt;height:264.55pt;z-index:251725824;mso-position-horizontal:left;mso-position-horizontal-relative:margin;mso-width-relative:margin;mso-height-relative:margin" coordsize="22625,26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">
                <v:shape id="Picture 31" o:spid="_x0000_s1038" type="#_x0000_t75" alt="Diagram&#10;&#10;Description automatically generated" style="position:absolute;width:22625;height:21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">
                  <v:imagedata r:id="rId36" o:title="Diagram&#10;&#10;Description automatically generated"/>
                </v:shape>
                <v:shape id="Text Box 2095036384" o:spid="_x0000_s1039" type="#_x0000_t202" style="position:absolute;left:1901;top:21723;width:1819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" stroked="f">
                  <v:textbox inset="0,0,0,0">
                    <w:txbxContent>
                      <w:p w14:paraId="060813DE" w14:textId="636B8416" w:rsidR="007F50DB" w:rsidRPr="007F50DB" w:rsidRDefault="007F50DB" w:rsidP="007F50DB">
                        <w:pPr>
                          <w:pStyle w:val="Caption"/>
                          <w:jc w:val="left"/>
                          <w:rPr>
                            <w:color w:val="F79646" w:themeColor="accent6"/>
                            <w:sz w:val="22"/>
                            <w:szCs w:val="22"/>
                          </w:rPr>
                        </w:pPr>
                        <w:bookmarkStart w:id="117" w:name="_Toc94771649"/>
                        <w:r w:rsidRPr="007F50DB">
                          <w:rPr>
                            <w:color w:val="F79646" w:themeColor="accent6"/>
                            <w:sz w:val="22"/>
                            <w:szCs w:val="22"/>
                          </w:rPr>
                          <w:t xml:space="preserve">Figure </w:t>
                        </w:r>
                        <w:r w:rsidRPr="007F50DB">
                          <w:rPr>
                            <w:color w:val="F79646" w:themeColor="accent6"/>
                            <w:sz w:val="22"/>
                            <w:szCs w:val="22"/>
                          </w:rPr>
                          <w:fldChar w:fldCharType="begin"/>
                        </w:r>
                        <w:r w:rsidRPr="007F50DB">
                          <w:rPr>
                            <w:color w:val="F79646" w:themeColor="accent6"/>
                            <w:sz w:val="22"/>
                            <w:szCs w:val="22"/>
                          </w:rPr>
                          <w:instrText>SEQ Figure \* ARABIC</w:instrText>
                        </w:r>
                        <w:r w:rsidRPr="007F50DB">
                          <w:rPr>
                            <w:color w:val="F79646" w:themeColor="accent6"/>
                            <w:sz w:val="22"/>
                            <w:szCs w:val="22"/>
                          </w:rPr>
                          <w:fldChar w:fldCharType="separate"/>
                        </w:r>
                        <w:r w:rsidR="00D93EBF">
                          <w:rPr>
                            <w:noProof/>
                            <w:color w:val="F79646" w:themeColor="accent6"/>
                            <w:sz w:val="22"/>
                            <w:szCs w:val="22"/>
                          </w:rPr>
                          <w:t>6</w:t>
                        </w:r>
                        <w:r w:rsidRPr="007F50DB">
                          <w:rPr>
                            <w:color w:val="F79646" w:themeColor="accent6"/>
                            <w:sz w:val="22"/>
                            <w:szCs w:val="22"/>
                          </w:rPr>
                          <w:fldChar w:fldCharType="end"/>
                        </w:r>
                        <w:r w:rsidRPr="007F50DB">
                          <w:rPr>
                            <w:color w:val="F79646" w:themeColor="accent6"/>
                            <w:sz w:val="22"/>
                            <w:szCs w:val="22"/>
                          </w:rPr>
                          <w:t>: Leadership Shadow Model</w:t>
                        </w:r>
                        <w:bookmarkEnd w:id="117"/>
                      </w:p>
                    </w:txbxContent>
                  </v:textbox>
                </v:shape>
                <w10:wrap type="square" anchorx="margin"/>
              </v:group>
            </w:pict>
          </mc:Fallback>
        </mc:AlternateContent>
      </w:r>
      <w:r w:rsidRPr="00437FB5">
        <w:rPr>
          <w:lang w:eastAsia="en-GB"/>
        </w:rPr>
        <w:t>By reflecting on “what I say”, “how I measure”, “what I prioritise”, and “how I act”</w:t>
      </w:r>
      <w:r>
        <w:rPr>
          <w:lang w:eastAsia="en-GB"/>
        </w:rPr>
        <w:t xml:space="preserve"> (Fig. 7)</w:t>
      </w:r>
      <w:r w:rsidRPr="00437FB5">
        <w:rPr>
          <w:lang w:eastAsia="en-GB"/>
        </w:rPr>
        <w:t xml:space="preserve">, leaders can </w:t>
      </w:r>
      <w:r>
        <w:rPr>
          <w:lang w:eastAsia="en-GB"/>
        </w:rPr>
        <w:t>consider</w:t>
      </w:r>
      <w:r w:rsidRPr="00437FB5">
        <w:rPr>
          <w:lang w:eastAsia="en-GB"/>
        </w:rPr>
        <w:t xml:space="preserve"> the</w:t>
      </w:r>
      <w:r>
        <w:rPr>
          <w:lang w:eastAsia="en-GB"/>
        </w:rPr>
        <w:t xml:space="preserve"> impacts of</w:t>
      </w:r>
      <w:r w:rsidRPr="00437FB5">
        <w:rPr>
          <w:lang w:eastAsia="en-GB"/>
        </w:rPr>
        <w:t xml:space="preserve"> their behaviour as well as how they model leadership standards for the broader institutional and organisational structure (</w:t>
      </w:r>
      <w:r>
        <w:rPr>
          <w:lang w:eastAsia="en-GB"/>
        </w:rPr>
        <w:t xml:space="preserve">Chief Executive Women (CEW) and </w:t>
      </w:r>
      <w:r w:rsidRPr="00437FB5">
        <w:rPr>
          <w:lang w:eastAsia="en-GB"/>
        </w:rPr>
        <w:t>Male Champions of Change</w:t>
      </w:r>
      <w:r>
        <w:rPr>
          <w:lang w:eastAsia="en-GB"/>
        </w:rPr>
        <w:t xml:space="preserve"> (MCC) 2018</w:t>
      </w:r>
      <w:r w:rsidRPr="00437FB5">
        <w:rPr>
          <w:lang w:eastAsia="en-GB"/>
        </w:rPr>
        <w:t xml:space="preserve"> p. 12). This can help leaders understand how they may be subconsciously </w:t>
      </w:r>
      <w:r>
        <w:rPr>
          <w:lang w:eastAsia="en-GB"/>
        </w:rPr>
        <w:t>or</w:t>
      </w:r>
      <w:r w:rsidRPr="00437FB5">
        <w:rPr>
          <w:lang w:eastAsia="en-GB"/>
        </w:rPr>
        <w:t xml:space="preserve"> consciously resisting primary prevention initiatives at individual and institutional levels.</w:t>
      </w:r>
    </w:p>
    <w:p w14:paraId="7EF21613" w14:textId="2DA0B9E6" w:rsidR="00DE00BB" w:rsidRDefault="00DE00BB" w:rsidP="00DE00BB">
      <w:pPr>
        <w:rPr>
          <w:lang w:eastAsia="en-GB"/>
        </w:rPr>
      </w:pPr>
    </w:p>
    <w:p w14:paraId="548979AE" w14:textId="77777777" w:rsidR="00DE00BB" w:rsidRDefault="00DE00BB" w:rsidP="00DE00BB">
      <w:pPr>
        <w:rPr>
          <w:lang w:eastAsia="en-GB"/>
        </w:rPr>
      </w:pPr>
      <w:r w:rsidRPr="00437FB5">
        <w:rPr>
          <w:lang w:eastAsia="en-GB"/>
        </w:rPr>
        <w:t xml:space="preserve">Working with leaders ‘where they are at’ is important to build capacity for them to be informed and committed to preventing violence against women and support driving and sustaining change. This includes bringing others on board, creating an environment that is conducive to primary prevention, and empowering individuals to speak up and </w:t>
      </w:r>
      <w:proofErr w:type="gramStart"/>
      <w:r w:rsidRPr="00437FB5">
        <w:rPr>
          <w:lang w:eastAsia="en-GB"/>
        </w:rPr>
        <w:t>take action</w:t>
      </w:r>
      <w:proofErr w:type="gramEnd"/>
      <w:r w:rsidRPr="00437FB5">
        <w:rPr>
          <w:lang w:eastAsia="en-GB"/>
        </w:rPr>
        <w:t xml:space="preserve"> when they see sexist or discriminatory behaviour</w:t>
      </w:r>
      <w:r>
        <w:rPr>
          <w:lang w:eastAsia="en-GB"/>
        </w:rPr>
        <w:t>,</w:t>
      </w:r>
      <w:r w:rsidRPr="00437FB5">
        <w:rPr>
          <w:lang w:eastAsia="en-GB"/>
        </w:rPr>
        <w:t xml:space="preserve"> knowing they will be supported.</w:t>
      </w:r>
      <w:r w:rsidRPr="00437FB5">
        <w:rPr>
          <w:rStyle w:val="FootnoteReference"/>
          <w:rFonts w:eastAsia="Times New Roman" w:cs="Times New Roman"/>
          <w:lang w:eastAsia="en-GB"/>
        </w:rPr>
        <w:footnoteReference w:id="18"/>
      </w:r>
      <w:r w:rsidRPr="00437FB5">
        <w:rPr>
          <w:lang w:eastAsia="en-GB"/>
        </w:rPr>
        <w:t xml:space="preserve"> </w:t>
      </w:r>
    </w:p>
    <w:p w14:paraId="65D3B0D0" w14:textId="77777777" w:rsidR="00DE00BB" w:rsidRDefault="00DE00BB" w:rsidP="00DE00BB">
      <w:pPr>
        <w:rPr>
          <w:lang w:eastAsia="en-GB"/>
        </w:rPr>
      </w:pPr>
    </w:p>
    <w:p w14:paraId="61604B98" w14:textId="390DE9EB" w:rsidR="00DE00BB" w:rsidRPr="00437FB5" w:rsidRDefault="00DE00BB" w:rsidP="00DE00BB">
      <w:pPr>
        <w:rPr>
          <w:lang w:eastAsia="en-GB"/>
        </w:rPr>
      </w:pPr>
      <w:r w:rsidRPr="00437FB5">
        <w:rPr>
          <w:lang w:eastAsia="en-GB"/>
        </w:rPr>
        <w:t>Securing and maintaining leadership support may minimise resistance and backlash and help ‘cascade’ the central tenets of primary prevention initiatives throughout the institution and organisation (</w:t>
      </w:r>
      <w:r>
        <w:rPr>
          <w:lang w:eastAsia="en-GB"/>
        </w:rPr>
        <w:t>CEW and MCC 2018</w:t>
      </w:r>
      <w:r w:rsidRPr="00437FB5">
        <w:rPr>
          <w:lang w:eastAsia="en-GB"/>
        </w:rPr>
        <w:t xml:space="preserve">, p. 19). </w:t>
      </w:r>
    </w:p>
    <w:p w14:paraId="464102D3" w14:textId="77777777" w:rsidR="00DE00BB" w:rsidRPr="00437FB5" w:rsidRDefault="00DE00BB" w:rsidP="00DE00BB">
      <w:pPr>
        <w:rPr>
          <w:lang w:eastAsia="en-GB"/>
        </w:rPr>
      </w:pPr>
    </w:p>
    <w:p w14:paraId="4716351D" w14:textId="6E8C3F83" w:rsidR="00DE00BB" w:rsidRDefault="00DE00BB" w:rsidP="00DE00BB">
      <w:pPr>
        <w:pStyle w:val="IntenseQuote"/>
        <w:rPr>
          <w:lang w:eastAsia="en-GB"/>
        </w:rPr>
      </w:pPr>
      <w:r w:rsidRPr="00437FB5">
        <w:rPr>
          <w:sz w:val="24"/>
        </w:rPr>
        <w:t xml:space="preserve">It </w:t>
      </w:r>
      <w:proofErr w:type="gramStart"/>
      <w:r w:rsidRPr="00437FB5">
        <w:rPr>
          <w:sz w:val="24"/>
        </w:rPr>
        <w:t>has to</w:t>
      </w:r>
      <w:proofErr w:type="gramEnd"/>
      <w:r w:rsidRPr="00437FB5">
        <w:rPr>
          <w:sz w:val="24"/>
        </w:rPr>
        <w:t xml:space="preserve"> be driven by leadership otherwise people don’t take it seriously. When the Chief Executive Officer turns around and says, “you need to do this”, it gets done. When the little project officer turns around and says, “can we do this”, [the response is] “Oh yeah maybe, [but] we don't have time”. That's one thing I </w:t>
      </w:r>
      <w:proofErr w:type="gramStart"/>
      <w:r w:rsidRPr="00437FB5">
        <w:rPr>
          <w:sz w:val="24"/>
        </w:rPr>
        <w:t>learned</w:t>
      </w:r>
      <w:r>
        <w:rPr>
          <w:sz w:val="24"/>
        </w:rPr>
        <w:t>,</w:t>
      </w:r>
      <w:proofErr w:type="gramEnd"/>
      <w:r>
        <w:rPr>
          <w:sz w:val="24"/>
        </w:rPr>
        <w:t xml:space="preserve"> </w:t>
      </w:r>
      <w:r w:rsidRPr="00437FB5">
        <w:rPr>
          <w:sz w:val="24"/>
        </w:rPr>
        <w:t>it must be executive driven… Once there was [leadership] pushing [primary prevention] forward, then we got a lot more traction</w:t>
      </w:r>
      <w:r>
        <w:rPr>
          <w:sz w:val="24"/>
        </w:rPr>
        <w:t>.</w:t>
      </w:r>
      <w:r>
        <w:rPr>
          <w:rStyle w:val="FootnoteReference"/>
          <w:sz w:val="24"/>
        </w:rPr>
        <w:footnoteReference w:id="19"/>
      </w:r>
      <w:r w:rsidRPr="00437FB5">
        <w:rPr>
          <w:sz w:val="24"/>
        </w:rPr>
        <w:t xml:space="preserve"> </w:t>
      </w:r>
    </w:p>
    <w:p w14:paraId="1990C19C" w14:textId="07D0C979" w:rsidR="00DE00BB" w:rsidRDefault="00DE00BB" w:rsidP="00DE00BB">
      <w:pPr>
        <w:rPr>
          <w:lang w:eastAsia="en-GB"/>
        </w:rPr>
      </w:pPr>
    </w:p>
    <w:p w14:paraId="6D26DA35" w14:textId="22094137" w:rsidR="00DE00BB" w:rsidRPr="007F50DB" w:rsidRDefault="00DE00BB" w:rsidP="00DE00BB">
      <w:pPr>
        <w:pStyle w:val="Heading3"/>
        <w:tabs>
          <w:tab w:val="left" w:pos="1418"/>
        </w:tabs>
        <w:spacing w:before="0" w:after="120"/>
        <w:rPr>
          <w:rFonts w:eastAsia="Arial" w:cs="Arial"/>
          <w:bCs/>
          <w:sz w:val="32"/>
          <w:szCs w:val="24"/>
        </w:rPr>
      </w:pPr>
      <w:bookmarkStart w:id="113" w:name="_Toc85620747"/>
      <w:bookmarkStart w:id="114" w:name="_Toc87526334"/>
      <w:r w:rsidRPr="007F50DB">
        <w:rPr>
          <w:rFonts w:eastAsia="Arial" w:cs="Arial"/>
          <w:bCs/>
          <w:sz w:val="32"/>
          <w:szCs w:val="24"/>
        </w:rPr>
        <w:t>Information and analysis</w:t>
      </w:r>
      <w:bookmarkEnd w:id="113"/>
      <w:bookmarkEnd w:id="114"/>
    </w:p>
    <w:p w14:paraId="6A37E2E2" w14:textId="61E5700A" w:rsidR="00DE00BB" w:rsidRDefault="00DE00BB" w:rsidP="00105C19">
      <w:pPr>
        <w:spacing w:after="120"/>
        <w:rPr>
          <w:lang w:eastAsia="en-GB"/>
        </w:rPr>
      </w:pPr>
      <w:r w:rsidRPr="00437FB5">
        <w:rPr>
          <w:lang w:eastAsia="en-GB"/>
        </w:rPr>
        <w:t xml:space="preserve">Information regarding dominant attitudes towards prevention of violence against women and the gendered drivers will assist in ascertaining the ‘readiness’ of the institution/organisation and avoid an </w:t>
      </w:r>
      <w:r w:rsidRPr="00437FB5">
        <w:rPr>
          <w:lang w:eastAsia="en-GB"/>
        </w:rPr>
        <w:lastRenderedPageBreak/>
        <w:t xml:space="preserve">unrealistic ‘zero to hero’ approach that tries to implement something too big and too fast that the institution and its individuals are not ready for (See Part 4 on a spectrum of change). Consulting and engaging a diverse group of actors and stakeholders (involving not only visible supporters of primary prevention and gender equality initiatives but also those who may be unconvinced), will help increase the readiness for change and build support for action by ‘planting the seed’ for change. </w:t>
      </w:r>
    </w:p>
    <w:p w14:paraId="3A081948" w14:textId="77777777" w:rsidR="00B5174A" w:rsidRDefault="00B5174A" w:rsidP="00105C19">
      <w:pPr>
        <w:spacing w:after="120"/>
        <w:rPr>
          <w:lang w:eastAsia="en-GB"/>
        </w:rPr>
      </w:pPr>
    </w:p>
    <w:p w14:paraId="4FCF3377" w14:textId="7B2D8F29" w:rsidR="00DE00BB" w:rsidRPr="00955F0D" w:rsidRDefault="00105C19" w:rsidP="00955F0D">
      <w:pPr>
        <w:pStyle w:val="Heading4"/>
        <w:jc w:val="left"/>
        <w:rPr>
          <w:rFonts w:ascii="Arial" w:hAnsi="Arial" w:cs="Arial"/>
          <w:color w:val="F79646" w:themeColor="accent6"/>
          <w:lang w:bidi="en-US"/>
        </w:rPr>
      </w:pPr>
      <w:r w:rsidRPr="007F50DB">
        <w:rPr>
          <w:rFonts w:ascii="Arial" w:hAnsi="Arial" w:cs="Arial"/>
          <w:color w:val="F79646" w:themeColor="accent6"/>
          <w:lang w:bidi="en-US"/>
        </w:rPr>
        <w:t>Consultation</w:t>
      </w:r>
    </w:p>
    <w:bookmarkEnd w:id="110"/>
    <w:bookmarkEnd w:id="111"/>
    <w:p w14:paraId="42DE6569" w14:textId="08E79A8E" w:rsidR="00105C19" w:rsidRDefault="00105C19" w:rsidP="00105C19">
      <w:pPr>
        <w:rPr>
          <w:lang w:eastAsia="en-GB"/>
        </w:rPr>
      </w:pPr>
      <w:r w:rsidRPr="00437FB5">
        <w:rPr>
          <w:lang w:eastAsia="en-GB"/>
        </w:rPr>
        <w:t xml:space="preserve">Consultation before the initiative has begun provides opportunity for actors to provide feedback and to reflect </w:t>
      </w:r>
      <w:r>
        <w:rPr>
          <w:lang w:eastAsia="en-GB"/>
        </w:rPr>
        <w:t>on</w:t>
      </w:r>
      <w:r w:rsidRPr="00437FB5">
        <w:rPr>
          <w:lang w:eastAsia="en-GB"/>
        </w:rPr>
        <w:t xml:space="preserve"> and identify the ways </w:t>
      </w:r>
      <w:r>
        <w:rPr>
          <w:lang w:eastAsia="en-GB"/>
        </w:rPr>
        <w:t xml:space="preserve">in which </w:t>
      </w:r>
      <w:r w:rsidRPr="00437FB5">
        <w:rPr>
          <w:lang w:eastAsia="en-GB"/>
        </w:rPr>
        <w:t xml:space="preserve">gender influences and shapes institutional norms, </w:t>
      </w:r>
      <w:proofErr w:type="gramStart"/>
      <w:r w:rsidRPr="00437FB5">
        <w:rPr>
          <w:lang w:eastAsia="en-GB"/>
        </w:rPr>
        <w:t>practices</w:t>
      </w:r>
      <w:proofErr w:type="gramEnd"/>
      <w:r w:rsidRPr="00437FB5">
        <w:rPr>
          <w:lang w:eastAsia="en-GB"/>
        </w:rPr>
        <w:t xml:space="preserve"> and structures. This could be done in several ways, such as through confidential or anonymous surveys, informal conversations, focus groups, </w:t>
      </w:r>
      <w:proofErr w:type="gramStart"/>
      <w:r w:rsidRPr="00437FB5">
        <w:rPr>
          <w:lang w:eastAsia="en-GB"/>
        </w:rPr>
        <w:t>email</w:t>
      </w:r>
      <w:proofErr w:type="gramEnd"/>
      <w:r w:rsidRPr="00437FB5">
        <w:rPr>
          <w:lang w:eastAsia="en-GB"/>
        </w:rPr>
        <w:t xml:space="preserve"> and social media, and inviting people to share their thoughts</w:t>
      </w:r>
      <w:r>
        <w:rPr>
          <w:lang w:eastAsia="en-GB"/>
        </w:rPr>
        <w:t xml:space="preserve"> on something as simple as ‘what keeps them up at night’</w:t>
      </w:r>
      <w:r w:rsidRPr="00437FB5">
        <w:rPr>
          <w:lang w:eastAsia="en-GB"/>
        </w:rPr>
        <w:t>. It is an opportunity to ask people</w:t>
      </w:r>
      <w:r w:rsidR="00E3279D">
        <w:rPr>
          <w:lang w:eastAsia="en-GB"/>
        </w:rPr>
        <w:t xml:space="preserve"> </w:t>
      </w:r>
      <w:r w:rsidRPr="00437FB5">
        <w:rPr>
          <w:lang w:eastAsia="en-GB"/>
        </w:rPr>
        <w:t xml:space="preserve">—who may not previously have had the time or inclination to think about it— 'how does gender impact your lives?’ and to then discuss this. </w:t>
      </w:r>
    </w:p>
    <w:p w14:paraId="40F7AB2A" w14:textId="77777777" w:rsidR="00105C19" w:rsidRDefault="00105C19" w:rsidP="00105C19">
      <w:pPr>
        <w:rPr>
          <w:lang w:eastAsia="en-GB"/>
        </w:rPr>
      </w:pPr>
    </w:p>
    <w:p w14:paraId="147D6757" w14:textId="4B41236A" w:rsidR="00105C19" w:rsidRDefault="00105C19" w:rsidP="00105C19">
      <w:pPr>
        <w:spacing w:after="120"/>
        <w:rPr>
          <w:lang w:eastAsia="en-GB"/>
        </w:rPr>
      </w:pPr>
      <w:r w:rsidRPr="00437FB5">
        <w:rPr>
          <w:lang w:eastAsia="en-GB"/>
        </w:rPr>
        <w:t xml:space="preserve">This might involve for example, highlighting the gendered division of labour (who does what at home), or the type of work women do outside the home, or discussing examples of gender stereotyping that people have seen or experienced. </w:t>
      </w:r>
      <w:r>
        <w:rPr>
          <w:lang w:eastAsia="en-GB"/>
        </w:rPr>
        <w:br w:type="column"/>
      </w:r>
      <w:r w:rsidRPr="00437FB5">
        <w:rPr>
          <w:lang w:eastAsia="en-GB"/>
        </w:rPr>
        <w:t xml:space="preserve">Although this may seem like a laborious process before the initiative has even begun, it </w:t>
      </w:r>
      <w:r>
        <w:rPr>
          <w:lang w:eastAsia="en-GB"/>
        </w:rPr>
        <w:t>helps create a foundation for</w:t>
      </w:r>
      <w:r w:rsidRPr="00437FB5">
        <w:rPr>
          <w:lang w:eastAsia="en-GB"/>
        </w:rPr>
        <w:t xml:space="preserve"> future work and assists in identifying where pockets of resistance</w:t>
      </w:r>
      <w:r w:rsidR="00E3279D">
        <w:rPr>
          <w:lang w:eastAsia="en-GB"/>
        </w:rPr>
        <w:t xml:space="preserve"> </w:t>
      </w:r>
      <w:r>
        <w:rPr>
          <w:lang w:eastAsia="en-GB"/>
        </w:rPr>
        <w:t>—</w:t>
      </w:r>
      <w:proofErr w:type="gramStart"/>
      <w:r>
        <w:rPr>
          <w:lang w:eastAsia="en-GB"/>
        </w:rPr>
        <w:t>and also</w:t>
      </w:r>
      <w:proofErr w:type="gramEnd"/>
      <w:r>
        <w:rPr>
          <w:lang w:eastAsia="en-GB"/>
        </w:rPr>
        <w:t xml:space="preserve"> support and allyship—</w:t>
      </w:r>
      <w:r w:rsidR="00E3279D">
        <w:rPr>
          <w:lang w:eastAsia="en-GB"/>
        </w:rPr>
        <w:t xml:space="preserve"> </w:t>
      </w:r>
      <w:r>
        <w:rPr>
          <w:lang w:eastAsia="en-GB"/>
        </w:rPr>
        <w:t xml:space="preserve">may </w:t>
      </w:r>
      <w:r w:rsidRPr="00437FB5">
        <w:rPr>
          <w:lang w:eastAsia="en-GB"/>
        </w:rPr>
        <w:t xml:space="preserve">already exist or have the potential to </w:t>
      </w:r>
      <w:r>
        <w:rPr>
          <w:lang w:eastAsia="en-GB"/>
        </w:rPr>
        <w:t>emerge</w:t>
      </w:r>
      <w:r w:rsidRPr="00437FB5">
        <w:rPr>
          <w:lang w:eastAsia="en-GB"/>
        </w:rPr>
        <w:t>.</w:t>
      </w:r>
    </w:p>
    <w:p w14:paraId="413CFE8E" w14:textId="77777777" w:rsidR="00B5174A" w:rsidRDefault="00B5174A" w:rsidP="00105C19">
      <w:pPr>
        <w:spacing w:after="120"/>
        <w:rPr>
          <w:lang w:eastAsia="en-GB"/>
        </w:rPr>
      </w:pPr>
    </w:p>
    <w:p w14:paraId="3942C43D" w14:textId="4C7DAE0B" w:rsidR="00105C19" w:rsidRPr="00955F0D" w:rsidRDefault="00105C19" w:rsidP="00955F0D">
      <w:pPr>
        <w:pStyle w:val="Heading4"/>
        <w:jc w:val="left"/>
        <w:rPr>
          <w:rFonts w:ascii="Arial" w:hAnsi="Arial" w:cs="Arial"/>
          <w:color w:val="F79646" w:themeColor="accent6"/>
          <w:lang w:bidi="en-US"/>
        </w:rPr>
      </w:pPr>
      <w:r w:rsidRPr="007F50DB">
        <w:rPr>
          <w:rFonts w:ascii="Arial" w:hAnsi="Arial" w:cs="Arial"/>
          <w:color w:val="F79646" w:themeColor="accent6"/>
          <w:lang w:bidi="en-US"/>
        </w:rPr>
        <w:t>Data</w:t>
      </w:r>
    </w:p>
    <w:p w14:paraId="41209603" w14:textId="6AE6FFEC" w:rsidR="00105C19" w:rsidRDefault="00105C19" w:rsidP="00105C19">
      <w:pPr>
        <w:rPr>
          <w:lang w:eastAsia="en-GB"/>
        </w:rPr>
      </w:pPr>
      <w:r>
        <w:rPr>
          <w:lang w:eastAsia="en-GB"/>
        </w:rPr>
        <w:t>Collecting gender-disaggregated d</w:t>
      </w:r>
      <w:r w:rsidRPr="00437FB5">
        <w:rPr>
          <w:lang w:eastAsia="en-GB"/>
        </w:rPr>
        <w:t>ata is important to establish the institutional and organisational landscape</w:t>
      </w:r>
      <w:r>
        <w:rPr>
          <w:lang w:eastAsia="en-GB"/>
        </w:rPr>
        <w:t>: what does the organisation look like?</w:t>
      </w:r>
      <w:r w:rsidRPr="00437FB5">
        <w:rPr>
          <w:lang w:eastAsia="en-GB"/>
        </w:rPr>
        <w:t xml:space="preserve"> For example, borrowing from Our Watch’s WER </w:t>
      </w:r>
      <w:r w:rsidR="00863974">
        <w:rPr>
          <w:lang w:eastAsia="en-GB"/>
        </w:rPr>
        <w:t>G</w:t>
      </w:r>
      <w:r w:rsidRPr="00437FB5">
        <w:rPr>
          <w:lang w:eastAsia="en-GB"/>
        </w:rPr>
        <w:t xml:space="preserve">ender </w:t>
      </w:r>
      <w:r w:rsidR="00863974">
        <w:rPr>
          <w:lang w:eastAsia="en-GB"/>
        </w:rPr>
        <w:t>E</w:t>
      </w:r>
      <w:r w:rsidRPr="00437FB5">
        <w:rPr>
          <w:lang w:eastAsia="en-GB"/>
        </w:rPr>
        <w:t xml:space="preserve">quality </w:t>
      </w:r>
      <w:r w:rsidR="00863974">
        <w:rPr>
          <w:lang w:eastAsia="en-GB"/>
        </w:rPr>
        <w:t>I</w:t>
      </w:r>
      <w:r w:rsidRPr="00437FB5">
        <w:rPr>
          <w:lang w:eastAsia="en-GB"/>
        </w:rPr>
        <w:t xml:space="preserve">ndicators, data can provide a snapshot of the status of gender equality in an organisation, establish a baseline to track progress over time, inform critical discussion around barriers to institutional and organisational change, and help make the case for resourcing primary prevention. </w:t>
      </w:r>
    </w:p>
    <w:p w14:paraId="02A109A6" w14:textId="77777777" w:rsidR="00105C19" w:rsidRDefault="00105C19" w:rsidP="00105C19">
      <w:pPr>
        <w:rPr>
          <w:lang w:eastAsia="en-GB"/>
        </w:rPr>
      </w:pPr>
    </w:p>
    <w:p w14:paraId="0E551ADC" w14:textId="1A27C443" w:rsidR="00105C19" w:rsidRPr="00437FB5" w:rsidRDefault="00105C19" w:rsidP="00105C19">
      <w:pPr>
        <w:rPr>
          <w:lang w:eastAsia="en-GB"/>
        </w:rPr>
      </w:pPr>
      <w:r w:rsidRPr="00437FB5">
        <w:rPr>
          <w:lang w:eastAsia="en-GB"/>
        </w:rPr>
        <w:t xml:space="preserve">This analysis </w:t>
      </w:r>
      <w:r>
        <w:rPr>
          <w:lang w:eastAsia="en-GB"/>
        </w:rPr>
        <w:t>should</w:t>
      </w:r>
      <w:r w:rsidRPr="00437FB5">
        <w:rPr>
          <w:lang w:eastAsia="en-GB"/>
        </w:rPr>
        <w:t xml:space="preserve"> also encompass the cultural and informal ways an institution operates including dominant norms, practices, </w:t>
      </w:r>
      <w:proofErr w:type="gramStart"/>
      <w:r w:rsidRPr="00437FB5">
        <w:rPr>
          <w:lang w:eastAsia="en-GB"/>
        </w:rPr>
        <w:t>attitudes</w:t>
      </w:r>
      <w:proofErr w:type="gramEnd"/>
      <w:r w:rsidRPr="00437FB5">
        <w:rPr>
          <w:lang w:eastAsia="en-GB"/>
        </w:rPr>
        <w:t xml:space="preserve"> and behaviours that might not be captured through consultation.</w:t>
      </w:r>
      <w:r w:rsidRPr="00437FB5">
        <w:rPr>
          <w:rStyle w:val="FootnoteReference"/>
          <w:lang w:eastAsia="en-GB"/>
        </w:rPr>
        <w:footnoteReference w:id="20"/>
      </w:r>
      <w:r w:rsidRPr="00437FB5">
        <w:rPr>
          <w:lang w:eastAsia="en-GB"/>
        </w:rPr>
        <w:t xml:space="preserve"> Participatory ways to include a range of stakeholders are important and can be completed through processes such as a gender audit or an organisational self-assessment.</w:t>
      </w:r>
      <w:r w:rsidRPr="00437FB5">
        <w:rPr>
          <w:rStyle w:val="FootnoteReference"/>
          <w:lang w:eastAsia="en-GB"/>
        </w:rPr>
        <w:footnoteReference w:id="21"/>
      </w:r>
      <w:r w:rsidRPr="00437FB5">
        <w:rPr>
          <w:lang w:eastAsia="en-GB"/>
        </w:rPr>
        <w:t xml:space="preserve"> Much of the data collected will also contribute to providing evidence in the </w:t>
      </w:r>
      <w:r>
        <w:rPr>
          <w:lang w:eastAsia="en-GB"/>
        </w:rPr>
        <w:t>approach</w:t>
      </w:r>
      <w:r w:rsidRPr="00437FB5">
        <w:rPr>
          <w:lang w:eastAsia="en-GB"/>
        </w:rPr>
        <w:t xml:space="preserve"> </w:t>
      </w:r>
      <w:r>
        <w:rPr>
          <w:lang w:eastAsia="en-GB"/>
        </w:rPr>
        <w:t xml:space="preserve">to </w:t>
      </w:r>
      <w:r w:rsidRPr="00437FB5">
        <w:rPr>
          <w:lang w:eastAsia="en-GB"/>
        </w:rPr>
        <w:t xml:space="preserve">monitoring resistance and backlash. </w:t>
      </w:r>
    </w:p>
    <w:p w14:paraId="544BF42A" w14:textId="77777777" w:rsidR="00105C19" w:rsidRDefault="00105C19" w:rsidP="00C63C7D">
      <w:pPr>
        <w:pStyle w:val="Mainbody-text"/>
        <w:rPr>
          <w:lang w:val="en-US" w:bidi="en-US"/>
        </w:rPr>
        <w:sectPr w:rsidR="00105C19" w:rsidSect="00DE00BB">
          <w:type w:val="continuous"/>
          <w:pgSz w:w="11900" w:h="16850"/>
          <w:pgMar w:top="1340" w:right="1060" w:bottom="1020" w:left="860" w:header="567" w:footer="824" w:gutter="0"/>
          <w:cols w:num="2" w:space="720"/>
          <w:docGrid w:linePitch="299"/>
        </w:sectPr>
      </w:pPr>
    </w:p>
    <w:tbl>
      <w:tblPr>
        <w:tblStyle w:val="ListTable3-Accent3"/>
        <w:tblW w:w="10050" w:type="dxa"/>
        <w:tblLook w:val="04A0" w:firstRow="1" w:lastRow="0" w:firstColumn="1" w:lastColumn="0" w:noHBand="0" w:noVBand="1"/>
      </w:tblPr>
      <w:tblGrid>
        <w:gridCol w:w="10050"/>
      </w:tblGrid>
      <w:tr w:rsidR="00105C19" w:rsidRPr="00360404" w14:paraId="64CC4E7A" w14:textId="77777777" w:rsidTr="00105C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5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E5DFEC" w:themeFill="accent4" w:themeFillTint="33"/>
          </w:tcPr>
          <w:p w14:paraId="00E2D0F8" w14:textId="5F55E81A" w:rsidR="00105C19" w:rsidRPr="00105C19" w:rsidRDefault="00105C19" w:rsidP="008E06F4">
            <w:pPr>
              <w:pStyle w:val="Caption"/>
              <w:rPr>
                <w:b w:val="0"/>
                <w:bCs w:val="0"/>
                <w:color w:val="F79646" w:themeColor="accent6"/>
                <w:sz w:val="22"/>
                <w:szCs w:val="22"/>
                <w:lang w:eastAsia="en-GB"/>
              </w:rPr>
            </w:pPr>
            <w:bookmarkStart w:id="115" w:name="_Toc75940827"/>
            <w:r w:rsidRPr="00105C19">
              <w:rPr>
                <w:b w:val="0"/>
                <w:bCs w:val="0"/>
                <w:color w:val="F79646" w:themeColor="accent6"/>
                <w:sz w:val="22"/>
                <w:szCs w:val="22"/>
              </w:rPr>
              <w:lastRenderedPageBreak/>
              <w:t xml:space="preserve">Highlight Box </w:t>
            </w:r>
            <w:r w:rsidRPr="00105C19">
              <w:rPr>
                <w:color w:val="F79646" w:themeColor="accent6"/>
                <w:sz w:val="22"/>
                <w:szCs w:val="22"/>
                <w:shd w:val="clear" w:color="auto" w:fill="E6E6E6"/>
              </w:rPr>
              <w:fldChar w:fldCharType="begin"/>
            </w:r>
            <w:r w:rsidRPr="00105C19">
              <w:rPr>
                <w:b w:val="0"/>
                <w:bCs w:val="0"/>
                <w:color w:val="F79646" w:themeColor="accent6"/>
                <w:sz w:val="22"/>
                <w:szCs w:val="22"/>
              </w:rPr>
              <w:instrText xml:space="preserve"> SEQ Highlight_Box \* ARABIC </w:instrText>
            </w:r>
            <w:r w:rsidRPr="00105C19">
              <w:rPr>
                <w:color w:val="F79646" w:themeColor="accent6"/>
                <w:sz w:val="22"/>
                <w:szCs w:val="22"/>
                <w:shd w:val="clear" w:color="auto" w:fill="E6E6E6"/>
              </w:rPr>
              <w:fldChar w:fldCharType="separate"/>
            </w:r>
            <w:r w:rsidR="00D93EBF">
              <w:rPr>
                <w:b w:val="0"/>
                <w:bCs w:val="0"/>
                <w:noProof/>
                <w:color w:val="F79646" w:themeColor="accent6"/>
                <w:sz w:val="22"/>
                <w:szCs w:val="22"/>
              </w:rPr>
              <w:t>4</w:t>
            </w:r>
            <w:r w:rsidRPr="00105C19">
              <w:rPr>
                <w:color w:val="F79646" w:themeColor="accent6"/>
                <w:sz w:val="22"/>
                <w:szCs w:val="22"/>
                <w:shd w:val="clear" w:color="auto" w:fill="E6E6E6"/>
              </w:rPr>
              <w:fldChar w:fldCharType="end"/>
            </w:r>
            <w:r w:rsidRPr="00105C19">
              <w:rPr>
                <w:b w:val="0"/>
                <w:bCs w:val="0"/>
                <w:color w:val="F79646" w:themeColor="accent6"/>
                <w:sz w:val="22"/>
                <w:szCs w:val="22"/>
              </w:rPr>
              <w:t>: Our Watch Workplace Equality and Respect (WER) tools and resources</w:t>
            </w:r>
            <w:bookmarkEnd w:id="115"/>
          </w:p>
          <w:p w14:paraId="1877682D" w14:textId="77777777" w:rsidR="00105C19" w:rsidRPr="00360404" w:rsidRDefault="00105C19" w:rsidP="008E06F4">
            <w:pPr>
              <w:rPr>
                <w:b w:val="0"/>
                <w:bCs w:val="0"/>
                <w:color w:val="000000" w:themeColor="text1"/>
              </w:rPr>
            </w:pPr>
            <w:r w:rsidRPr="00360404">
              <w:rPr>
                <w:b w:val="0"/>
                <w:bCs w:val="0"/>
                <w:color w:val="000000" w:themeColor="text1"/>
              </w:rPr>
              <w:t xml:space="preserve">Our Watch’s Workplace Equality and Respect (WER) Self-Assessment Tool is a guide that provides information for facilitators to conduct internal reflection on the leadership, strategies, </w:t>
            </w:r>
            <w:proofErr w:type="gramStart"/>
            <w:r w:rsidRPr="00360404">
              <w:rPr>
                <w:b w:val="0"/>
                <w:bCs w:val="0"/>
                <w:color w:val="000000" w:themeColor="text1"/>
              </w:rPr>
              <w:t>norms</w:t>
            </w:r>
            <w:proofErr w:type="gramEnd"/>
            <w:r w:rsidRPr="00360404">
              <w:rPr>
                <w:b w:val="0"/>
                <w:bCs w:val="0"/>
                <w:color w:val="000000" w:themeColor="text1"/>
              </w:rPr>
              <w:t xml:space="preserve"> and practices of workplaces to determine progress towards meeting a set of </w:t>
            </w:r>
            <w:r>
              <w:rPr>
                <w:b w:val="0"/>
                <w:bCs w:val="0"/>
                <w:color w:val="000000" w:themeColor="text1"/>
              </w:rPr>
              <w:t>five</w:t>
            </w:r>
            <w:r w:rsidRPr="00360404">
              <w:rPr>
                <w:b w:val="0"/>
                <w:bCs w:val="0"/>
                <w:color w:val="000000" w:themeColor="text1"/>
              </w:rPr>
              <w:t xml:space="preserve"> WER standards.</w:t>
            </w:r>
            <w:r w:rsidRPr="00360404">
              <w:rPr>
                <w:rStyle w:val="FootnoteReference"/>
                <w:color w:val="000000" w:themeColor="text1"/>
              </w:rPr>
              <w:footnoteReference w:id="22"/>
            </w:r>
            <w:r w:rsidRPr="00360404">
              <w:rPr>
                <w:b w:val="0"/>
                <w:bCs w:val="0"/>
                <w:color w:val="000000" w:themeColor="text1"/>
              </w:rPr>
              <w:t xml:space="preserve"> It is an iterative tool that fosters ownership and prioritises participation of workplaces in assessing their commitment to gender equality and what needs greater attention and progress within an organisation. </w:t>
            </w:r>
          </w:p>
          <w:p w14:paraId="37E45506" w14:textId="77777777" w:rsidR="00105C19" w:rsidRPr="00360404" w:rsidRDefault="00105C19" w:rsidP="008E06F4">
            <w:pPr>
              <w:rPr>
                <w:b w:val="0"/>
                <w:bCs w:val="0"/>
                <w:color w:val="000000" w:themeColor="text1"/>
              </w:rPr>
            </w:pPr>
            <w:r w:rsidRPr="00360404">
              <w:rPr>
                <w:b w:val="0"/>
                <w:bCs w:val="0"/>
                <w:color w:val="000000" w:themeColor="text1"/>
              </w:rPr>
              <w:t>Our Watch Workplace Equality and Respect (WER) Gender Equality Indicators support workplaces to establish a baseline to track progress, to engage in discussions in workplaces, and make</w:t>
            </w:r>
            <w:r>
              <w:rPr>
                <w:b w:val="0"/>
                <w:bCs w:val="0"/>
                <w:color w:val="000000" w:themeColor="text1"/>
              </w:rPr>
              <w:t xml:space="preserve"> a</w:t>
            </w:r>
            <w:r w:rsidRPr="00360404">
              <w:rPr>
                <w:b w:val="0"/>
                <w:bCs w:val="0"/>
                <w:color w:val="000000" w:themeColor="text1"/>
              </w:rPr>
              <w:t xml:space="preserve"> case for resourcing efforts to promote gender equality.</w:t>
            </w:r>
            <w:r>
              <w:rPr>
                <w:b w:val="0"/>
                <w:bCs w:val="0"/>
                <w:color w:val="000000" w:themeColor="text1"/>
              </w:rPr>
              <w:t xml:space="preserve"> The indicators are:</w:t>
            </w:r>
            <w:r w:rsidRPr="00B5174A">
              <w:rPr>
                <w:rStyle w:val="FootnoteReference"/>
                <w:color w:val="000000" w:themeColor="text1"/>
                <w:lang w:eastAsia="en-GB"/>
              </w:rPr>
              <w:footnoteReference w:id="23"/>
            </w:r>
            <w:r w:rsidRPr="00360404">
              <w:rPr>
                <w:b w:val="0"/>
                <w:bCs w:val="0"/>
                <w:color w:val="000000" w:themeColor="text1"/>
                <w:lang w:eastAsia="en-GB"/>
              </w:rPr>
              <w:t xml:space="preserve"> </w:t>
            </w:r>
            <w:r w:rsidRPr="00360404">
              <w:rPr>
                <w:b w:val="0"/>
                <w:bCs w:val="0"/>
                <w:color w:val="000000" w:themeColor="text1"/>
              </w:rPr>
              <w:t xml:space="preserve"> </w:t>
            </w:r>
          </w:p>
          <w:p w14:paraId="4D9EA1E1" w14:textId="77777777" w:rsidR="00105C19" w:rsidRPr="00360404" w:rsidRDefault="00105C19" w:rsidP="00B01F9C">
            <w:pPr>
              <w:pStyle w:val="ListParagraph"/>
              <w:numPr>
                <w:ilvl w:val="0"/>
                <w:numId w:val="21"/>
              </w:numPr>
              <w:spacing w:before="0" w:after="120"/>
              <w:ind w:left="714" w:hanging="357"/>
              <w:rPr>
                <w:rFonts w:ascii="Times New Roman" w:hAnsi="Times New Roman"/>
                <w:b w:val="0"/>
                <w:bCs w:val="0"/>
                <w:color w:val="000000" w:themeColor="text1"/>
              </w:rPr>
            </w:pPr>
            <w:r w:rsidRPr="00360404">
              <w:rPr>
                <w:b w:val="0"/>
                <w:bCs w:val="0"/>
                <w:color w:val="000000" w:themeColor="text1"/>
              </w:rPr>
              <w:t xml:space="preserve">Ratio of men to women in workforce, overall and by teams </w:t>
            </w:r>
          </w:p>
          <w:p w14:paraId="59B51D0A" w14:textId="77777777" w:rsidR="00105C19" w:rsidRPr="00360404" w:rsidRDefault="00105C19" w:rsidP="00B01F9C">
            <w:pPr>
              <w:pStyle w:val="ListParagraph"/>
              <w:numPr>
                <w:ilvl w:val="0"/>
                <w:numId w:val="21"/>
              </w:numPr>
              <w:spacing w:before="0" w:after="120"/>
              <w:ind w:left="714" w:hanging="357"/>
              <w:rPr>
                <w:rFonts w:ascii="Times New Roman" w:hAnsi="Times New Roman"/>
                <w:b w:val="0"/>
                <w:bCs w:val="0"/>
                <w:color w:val="000000" w:themeColor="text1"/>
              </w:rPr>
            </w:pPr>
            <w:r w:rsidRPr="00360404">
              <w:rPr>
                <w:b w:val="0"/>
                <w:bCs w:val="0"/>
                <w:color w:val="000000" w:themeColor="text1"/>
              </w:rPr>
              <w:t xml:space="preserve">Ratio of men to women in leadership and management positions, including Board, executive, senior and middle management level </w:t>
            </w:r>
          </w:p>
          <w:p w14:paraId="1427DC7B" w14:textId="77777777" w:rsidR="00105C19" w:rsidRPr="00360404" w:rsidRDefault="00105C19" w:rsidP="00B01F9C">
            <w:pPr>
              <w:pStyle w:val="ListParagraph"/>
              <w:numPr>
                <w:ilvl w:val="0"/>
                <w:numId w:val="21"/>
              </w:numPr>
              <w:spacing w:before="0" w:after="120"/>
              <w:ind w:left="714" w:hanging="357"/>
              <w:rPr>
                <w:rFonts w:ascii="Times New Roman" w:hAnsi="Times New Roman"/>
                <w:b w:val="0"/>
                <w:bCs w:val="0"/>
                <w:color w:val="000000" w:themeColor="text1"/>
              </w:rPr>
            </w:pPr>
            <w:r w:rsidRPr="00360404">
              <w:rPr>
                <w:b w:val="0"/>
                <w:bCs w:val="0"/>
                <w:color w:val="000000" w:themeColor="text1"/>
              </w:rPr>
              <w:t xml:space="preserve">Ratio of male and female new hires and internal promotions, by level and department </w:t>
            </w:r>
          </w:p>
          <w:p w14:paraId="584217F9" w14:textId="77777777" w:rsidR="00105C19" w:rsidRPr="00360404" w:rsidRDefault="00105C19" w:rsidP="00B01F9C">
            <w:pPr>
              <w:pStyle w:val="ListParagraph"/>
              <w:numPr>
                <w:ilvl w:val="0"/>
                <w:numId w:val="21"/>
              </w:numPr>
              <w:spacing w:before="0" w:after="120"/>
              <w:ind w:left="714" w:hanging="357"/>
              <w:rPr>
                <w:rFonts w:ascii="Times New Roman" w:hAnsi="Times New Roman"/>
                <w:b w:val="0"/>
                <w:bCs w:val="0"/>
                <w:color w:val="000000" w:themeColor="text1"/>
              </w:rPr>
            </w:pPr>
            <w:r w:rsidRPr="00360404">
              <w:rPr>
                <w:b w:val="0"/>
                <w:bCs w:val="0"/>
                <w:color w:val="000000" w:themeColor="text1"/>
              </w:rPr>
              <w:t xml:space="preserve">Average salary gap between female and male staff members across the organisation and by department </w:t>
            </w:r>
          </w:p>
          <w:p w14:paraId="7A9E9B9F" w14:textId="77777777" w:rsidR="00105C19" w:rsidRPr="00141D71" w:rsidRDefault="00105C19" w:rsidP="00B01F9C">
            <w:pPr>
              <w:pStyle w:val="ListParagraph"/>
              <w:numPr>
                <w:ilvl w:val="0"/>
                <w:numId w:val="21"/>
              </w:numPr>
              <w:spacing w:before="0" w:after="120"/>
              <w:ind w:left="714" w:hanging="357"/>
              <w:rPr>
                <w:rFonts w:ascii="Times New Roman" w:hAnsi="Times New Roman"/>
                <w:b w:val="0"/>
                <w:bCs w:val="0"/>
                <w:color w:val="000000" w:themeColor="text1"/>
              </w:rPr>
            </w:pPr>
            <w:r w:rsidRPr="00360404">
              <w:rPr>
                <w:b w:val="0"/>
                <w:bCs w:val="0"/>
                <w:color w:val="000000" w:themeColor="text1"/>
              </w:rPr>
              <w:t xml:space="preserve">Comparison of male and female staff and managers who use flexible work arrangements </w:t>
            </w:r>
          </w:p>
          <w:p w14:paraId="725F94F6" w14:textId="77777777" w:rsidR="00105C19" w:rsidRPr="00360404" w:rsidRDefault="00105C19" w:rsidP="00B01F9C">
            <w:pPr>
              <w:pStyle w:val="ListParagraph"/>
              <w:numPr>
                <w:ilvl w:val="0"/>
                <w:numId w:val="21"/>
              </w:numPr>
              <w:spacing w:before="0" w:after="120"/>
              <w:ind w:left="714" w:hanging="357"/>
              <w:rPr>
                <w:rFonts w:ascii="Times New Roman" w:hAnsi="Times New Roman"/>
                <w:b w:val="0"/>
                <w:bCs w:val="0"/>
                <w:color w:val="000000" w:themeColor="text1"/>
              </w:rPr>
            </w:pPr>
            <w:r w:rsidRPr="00360404">
              <w:rPr>
                <w:b w:val="0"/>
                <w:bCs w:val="0"/>
                <w:color w:val="000000" w:themeColor="text1"/>
              </w:rPr>
              <w:t xml:space="preserve">Comparison of male and female staff who use and return from parental leave with continued employment for 12 months </w:t>
            </w:r>
          </w:p>
          <w:p w14:paraId="57E29282" w14:textId="77777777" w:rsidR="00105C19" w:rsidRPr="00360404" w:rsidRDefault="00105C19" w:rsidP="00B01F9C">
            <w:pPr>
              <w:pStyle w:val="ListParagraph"/>
              <w:numPr>
                <w:ilvl w:val="0"/>
                <w:numId w:val="21"/>
              </w:numPr>
              <w:spacing w:before="0" w:after="120"/>
              <w:ind w:left="714" w:hanging="357"/>
              <w:rPr>
                <w:rFonts w:ascii="Times New Roman" w:hAnsi="Times New Roman"/>
                <w:b w:val="0"/>
                <w:bCs w:val="0"/>
                <w:color w:val="000000" w:themeColor="text1"/>
              </w:rPr>
            </w:pPr>
            <w:r w:rsidRPr="00360404">
              <w:rPr>
                <w:b w:val="0"/>
                <w:bCs w:val="0"/>
                <w:color w:val="000000" w:themeColor="text1"/>
              </w:rPr>
              <w:t xml:space="preserve">Changes in staff perception of workplace culture as measured by annual staff survey </w:t>
            </w:r>
          </w:p>
          <w:p w14:paraId="2A1B69DB" w14:textId="77777777" w:rsidR="00105C19" w:rsidRPr="00360404" w:rsidRDefault="00105C19" w:rsidP="00B01F9C">
            <w:pPr>
              <w:pStyle w:val="ListParagraph"/>
              <w:numPr>
                <w:ilvl w:val="0"/>
                <w:numId w:val="21"/>
              </w:numPr>
              <w:spacing w:before="0" w:after="120"/>
              <w:ind w:left="714" w:hanging="357"/>
              <w:rPr>
                <w:rFonts w:ascii="Times New Roman" w:hAnsi="Times New Roman"/>
                <w:b w:val="0"/>
                <w:bCs w:val="0"/>
                <w:color w:val="000000" w:themeColor="text1"/>
              </w:rPr>
            </w:pPr>
            <w:r w:rsidRPr="00360404">
              <w:rPr>
                <w:b w:val="0"/>
                <w:bCs w:val="0"/>
                <w:color w:val="000000" w:themeColor="text1"/>
              </w:rPr>
              <w:t>Reported incidence of sex-based discrimination and harassment</w:t>
            </w:r>
          </w:p>
          <w:p w14:paraId="78B8CE39" w14:textId="77777777" w:rsidR="00105C19" w:rsidRPr="00360404" w:rsidRDefault="00105C19" w:rsidP="008E06F4">
            <w:pPr>
              <w:keepNext/>
              <w:rPr>
                <w:b w:val="0"/>
                <w:bCs w:val="0"/>
                <w:lang w:eastAsia="en-GB"/>
              </w:rPr>
            </w:pPr>
          </w:p>
        </w:tc>
      </w:tr>
    </w:tbl>
    <w:p w14:paraId="6E10435D" w14:textId="77777777" w:rsidR="00105C19" w:rsidRDefault="00105C19" w:rsidP="00C63C7D">
      <w:pPr>
        <w:pStyle w:val="Mainbody-text"/>
        <w:rPr>
          <w:lang w:val="en-US" w:bidi="en-US"/>
        </w:rPr>
        <w:sectPr w:rsidR="00105C19" w:rsidSect="00105C19">
          <w:pgSz w:w="11900" w:h="16850"/>
          <w:pgMar w:top="1340" w:right="1060" w:bottom="1020" w:left="860" w:header="567" w:footer="824" w:gutter="0"/>
          <w:cols w:space="720"/>
          <w:docGrid w:linePitch="299"/>
        </w:sectPr>
      </w:pPr>
    </w:p>
    <w:p w14:paraId="5AE25E8D" w14:textId="1A7DA6B8" w:rsidR="00105C19" w:rsidRPr="00955F0D" w:rsidRDefault="00105C19" w:rsidP="00955F0D">
      <w:pPr>
        <w:pStyle w:val="Heading4"/>
        <w:jc w:val="left"/>
        <w:rPr>
          <w:rFonts w:ascii="Arial" w:hAnsi="Arial" w:cs="Arial"/>
          <w:color w:val="F79646" w:themeColor="accent6"/>
          <w:lang w:bidi="en-US"/>
        </w:rPr>
      </w:pPr>
      <w:r w:rsidRPr="007F50DB">
        <w:rPr>
          <w:rFonts w:ascii="Arial" w:hAnsi="Arial" w:cs="Arial"/>
          <w:color w:val="F79646" w:themeColor="accent6"/>
          <w:lang w:bidi="en-US"/>
        </w:rPr>
        <w:t>Gender informed methods and approaches</w:t>
      </w:r>
    </w:p>
    <w:p w14:paraId="73A15E9E" w14:textId="77777777" w:rsidR="00105C19" w:rsidRDefault="00105C19" w:rsidP="00105C19">
      <w:pPr>
        <w:rPr>
          <w:lang w:eastAsia="en-GB"/>
        </w:rPr>
      </w:pPr>
      <w:r w:rsidRPr="00437FB5">
        <w:rPr>
          <w:lang w:eastAsia="en-GB"/>
        </w:rPr>
        <w:t xml:space="preserve">In addition to information and data, introducing gender analysis and methods (see below on expertise) in institutional architecture not only contributes to operationalising primary prevention principles, but can also help counter resistance by integrating gender equality into institutional and organisational modes of operation, </w:t>
      </w:r>
      <w:proofErr w:type="gramStart"/>
      <w:r w:rsidRPr="00437FB5">
        <w:rPr>
          <w:lang w:eastAsia="en-GB"/>
        </w:rPr>
        <w:t>culture</w:t>
      </w:r>
      <w:proofErr w:type="gramEnd"/>
      <w:r w:rsidRPr="00437FB5">
        <w:rPr>
          <w:lang w:eastAsia="en-GB"/>
        </w:rPr>
        <w:t xml:space="preserve"> and core business. This is achieved by introducing and maintaining a commitment to gender-sensitive quantitative and qualitative </w:t>
      </w:r>
      <w:r w:rsidRPr="00437FB5">
        <w:rPr>
          <w:lang w:eastAsia="en-GB"/>
        </w:rPr>
        <w:t xml:space="preserve">methods that account for how women and men are </w:t>
      </w:r>
      <w:r>
        <w:rPr>
          <w:lang w:eastAsia="en-GB"/>
        </w:rPr>
        <w:t>affected</w:t>
      </w:r>
      <w:r w:rsidRPr="00437FB5">
        <w:rPr>
          <w:lang w:eastAsia="en-GB"/>
        </w:rPr>
        <w:t xml:space="preserve"> differently by the formal institutional architecture. This also provides an opportunity to incorporate other power-related dynamics that shape people’s lives, such as race, sexuality, and disability. </w:t>
      </w:r>
    </w:p>
    <w:p w14:paraId="10B7D64D" w14:textId="77777777" w:rsidR="00105C19" w:rsidRDefault="00105C19" w:rsidP="00105C19">
      <w:pPr>
        <w:rPr>
          <w:lang w:eastAsia="en-GB"/>
        </w:rPr>
      </w:pPr>
    </w:p>
    <w:p w14:paraId="6E9FBB28" w14:textId="085FD7F1" w:rsidR="00105C19" w:rsidRDefault="00105C19" w:rsidP="005F71E6">
      <w:pPr>
        <w:rPr>
          <w:lang w:eastAsia="en-GB"/>
        </w:rPr>
      </w:pPr>
      <w:r w:rsidRPr="00437FB5">
        <w:rPr>
          <w:lang w:eastAsia="en-GB"/>
        </w:rPr>
        <w:t>Such methods include gender-impact assessments, gender budgeting, and gender analysis of the “conditions, needs, participation rates, access to resources and development, control of assets, decision-making powers etc” (</w:t>
      </w:r>
      <w:r>
        <w:rPr>
          <w:lang w:eastAsia="en-GB"/>
        </w:rPr>
        <w:t>European Institute for Gender Equality [</w:t>
      </w:r>
      <w:r w:rsidRPr="00437FB5">
        <w:rPr>
          <w:lang w:eastAsia="en-GB"/>
        </w:rPr>
        <w:t>EIGE</w:t>
      </w:r>
      <w:r>
        <w:rPr>
          <w:lang w:eastAsia="en-GB"/>
        </w:rPr>
        <w:t>]</w:t>
      </w:r>
      <w:r w:rsidRPr="00437FB5">
        <w:rPr>
          <w:lang w:eastAsia="en-GB"/>
        </w:rPr>
        <w:t xml:space="preserve"> 2016 p. 31)</w:t>
      </w:r>
      <w:r w:rsidR="007E6B9F">
        <w:rPr>
          <w:lang w:eastAsia="en-GB"/>
        </w:rPr>
        <w:t>.</w:t>
      </w:r>
      <w:r w:rsidRPr="00437FB5">
        <w:rPr>
          <w:lang w:eastAsia="en-GB"/>
        </w:rPr>
        <w:t xml:space="preserve"> </w:t>
      </w:r>
      <w:r w:rsidRPr="00437FB5">
        <w:rPr>
          <w:lang w:eastAsia="en-GB"/>
        </w:rPr>
        <w:lastRenderedPageBreak/>
        <w:t>Customised tools to suit existing processes to integrate gender considerations that address the gendered drivers of violence against women can also be developed to avoid time burdens or primary prevention being seen as ‘extra work’</w:t>
      </w:r>
      <w:r>
        <w:rPr>
          <w:lang w:eastAsia="en-GB"/>
        </w:rPr>
        <w:t>,</w:t>
      </w:r>
      <w:r w:rsidRPr="00437FB5">
        <w:rPr>
          <w:lang w:eastAsia="en-GB"/>
        </w:rPr>
        <w:t xml:space="preserve"> </w:t>
      </w:r>
      <w:r>
        <w:rPr>
          <w:lang w:eastAsia="en-GB"/>
        </w:rPr>
        <w:t>as this perception</w:t>
      </w:r>
      <w:r w:rsidRPr="00437FB5">
        <w:rPr>
          <w:lang w:eastAsia="en-GB"/>
        </w:rPr>
        <w:t xml:space="preserve"> often produces resistance.</w:t>
      </w:r>
    </w:p>
    <w:p w14:paraId="1F422ACE" w14:textId="77777777" w:rsidR="00863974" w:rsidRPr="007F50DB" w:rsidRDefault="00863974" w:rsidP="005F71E6"/>
    <w:p w14:paraId="7AB656FB" w14:textId="30D2E193" w:rsidR="00105C19" w:rsidRPr="007F50DB" w:rsidRDefault="00105C19" w:rsidP="00105C19">
      <w:pPr>
        <w:pStyle w:val="Heading3"/>
        <w:tabs>
          <w:tab w:val="left" w:pos="1418"/>
        </w:tabs>
        <w:spacing w:before="0" w:after="120"/>
        <w:rPr>
          <w:rFonts w:eastAsia="Arial" w:cs="Arial"/>
          <w:bCs/>
          <w:sz w:val="32"/>
          <w:szCs w:val="24"/>
        </w:rPr>
      </w:pPr>
      <w:bookmarkStart w:id="116" w:name="_Toc85620748"/>
      <w:bookmarkStart w:id="117" w:name="_Toc87526335"/>
      <w:r w:rsidRPr="007F50DB">
        <w:rPr>
          <w:rFonts w:eastAsia="Arial" w:cs="Arial"/>
          <w:bCs/>
          <w:sz w:val="32"/>
          <w:szCs w:val="24"/>
        </w:rPr>
        <w:t>Knowledge and gender expertise</w:t>
      </w:r>
      <w:bookmarkEnd w:id="116"/>
      <w:bookmarkEnd w:id="117"/>
    </w:p>
    <w:p w14:paraId="521BDF6F" w14:textId="77777777" w:rsidR="00105C19" w:rsidRDefault="00105C19" w:rsidP="00105C19">
      <w:pPr>
        <w:rPr>
          <w:lang w:eastAsia="en-GB"/>
        </w:rPr>
      </w:pPr>
      <w:r w:rsidRPr="00437FB5">
        <w:rPr>
          <w:lang w:eastAsia="en-GB"/>
        </w:rPr>
        <w:t>Being able to respond to resistance requires quick thinking and easily accessible facts and knowledge around the gendered drivers of violence.</w:t>
      </w:r>
      <w:r w:rsidRPr="00437FB5">
        <w:rPr>
          <w:rStyle w:val="FootnoteReference"/>
          <w:lang w:eastAsia="en-GB"/>
        </w:rPr>
        <w:footnoteReference w:id="24"/>
      </w:r>
      <w:r w:rsidRPr="00437FB5">
        <w:rPr>
          <w:lang w:eastAsia="en-GB"/>
        </w:rPr>
        <w:t xml:space="preserve"> There are several guides to help respond to common forms of resistance, such as responding to ‘curly questions’ and managing difficult questions (See </w:t>
      </w:r>
      <w:r>
        <w:rPr>
          <w:lang w:eastAsia="en-GB"/>
        </w:rPr>
        <w:t>Highlight Box 5</w:t>
      </w:r>
      <w:r w:rsidRPr="00437FB5">
        <w:rPr>
          <w:lang w:eastAsia="en-GB"/>
        </w:rPr>
        <w:t>).</w:t>
      </w:r>
      <w:r w:rsidRPr="00437FB5">
        <w:rPr>
          <w:rStyle w:val="FootnoteReference"/>
          <w:lang w:eastAsia="en-GB"/>
        </w:rPr>
        <w:footnoteReference w:id="25"/>
      </w:r>
      <w:r w:rsidRPr="00437FB5">
        <w:rPr>
          <w:lang w:eastAsia="en-GB"/>
        </w:rPr>
        <w:t xml:space="preserve"> </w:t>
      </w:r>
      <w:r>
        <w:rPr>
          <w:lang w:eastAsia="en-GB"/>
        </w:rPr>
        <w:br w:type="column"/>
      </w:r>
      <w:r w:rsidRPr="00437FB5">
        <w:rPr>
          <w:lang w:eastAsia="en-GB"/>
        </w:rPr>
        <w:t xml:space="preserve">Common forms of resistance often individualise violence against women. Therefore, it is important to have a firm grasp and understanding of </w:t>
      </w:r>
      <w:r>
        <w:rPr>
          <w:lang w:eastAsia="en-GB"/>
        </w:rPr>
        <w:t xml:space="preserve">the concepts and relevant theories and research relating to </w:t>
      </w:r>
      <w:r w:rsidRPr="00437FB5">
        <w:rPr>
          <w:lang w:eastAsia="en-GB"/>
        </w:rPr>
        <w:t xml:space="preserve">gender, masculinities, and the gendered norms, </w:t>
      </w:r>
      <w:proofErr w:type="gramStart"/>
      <w:r w:rsidRPr="00437FB5">
        <w:rPr>
          <w:lang w:eastAsia="en-GB"/>
        </w:rPr>
        <w:t>practices</w:t>
      </w:r>
      <w:proofErr w:type="gramEnd"/>
      <w:r w:rsidRPr="00437FB5">
        <w:rPr>
          <w:lang w:eastAsia="en-GB"/>
        </w:rPr>
        <w:t xml:space="preserve"> and structures</w:t>
      </w:r>
      <w:r>
        <w:rPr>
          <w:lang w:eastAsia="en-GB"/>
        </w:rPr>
        <w:t>, in order</w:t>
      </w:r>
      <w:r w:rsidRPr="00437FB5">
        <w:rPr>
          <w:lang w:eastAsia="en-GB"/>
        </w:rPr>
        <w:t xml:space="preserve"> to</w:t>
      </w:r>
      <w:r>
        <w:rPr>
          <w:lang w:eastAsia="en-GB"/>
        </w:rPr>
        <w:t xml:space="preserve"> be able </w:t>
      </w:r>
      <w:r w:rsidRPr="00437FB5">
        <w:rPr>
          <w:lang w:eastAsia="en-GB"/>
        </w:rPr>
        <w:t xml:space="preserve">to respond in knowledgeable and persuadable ways. </w:t>
      </w:r>
    </w:p>
    <w:p w14:paraId="43CCE7E0" w14:textId="77777777" w:rsidR="00105C19" w:rsidRDefault="00105C19" w:rsidP="00105C19">
      <w:pPr>
        <w:rPr>
          <w:lang w:eastAsia="en-GB"/>
        </w:rPr>
      </w:pPr>
    </w:p>
    <w:p w14:paraId="4E74F8A3" w14:textId="3AF4E92F" w:rsidR="00105C19" w:rsidRDefault="00D83867" w:rsidP="00105C19">
      <w:pPr>
        <w:rPr>
          <w:lang w:eastAsia="en-GB"/>
        </w:rPr>
      </w:pPr>
      <w:r>
        <w:rPr>
          <w:lang w:eastAsia="en-GB"/>
        </w:rPr>
        <w:t>Understanding</w:t>
      </w:r>
      <w:r w:rsidR="00105C19" w:rsidRPr="00437FB5">
        <w:rPr>
          <w:lang w:eastAsia="en-GB"/>
        </w:rPr>
        <w:t xml:space="preserve"> </w:t>
      </w:r>
      <w:r w:rsidR="00105C19" w:rsidRPr="00437FB5">
        <w:rPr>
          <w:i/>
          <w:iCs/>
          <w:lang w:eastAsia="en-GB"/>
        </w:rPr>
        <w:t>Change the story,</w:t>
      </w:r>
      <w:r w:rsidR="00105C19" w:rsidRPr="00437FB5">
        <w:rPr>
          <w:lang w:eastAsia="en-GB"/>
        </w:rPr>
        <w:t xml:space="preserve"> </w:t>
      </w:r>
      <w:r w:rsidR="00105C19" w:rsidRPr="00437FB5">
        <w:rPr>
          <w:i/>
          <w:iCs/>
          <w:lang w:eastAsia="en-GB"/>
        </w:rPr>
        <w:t xml:space="preserve">Changing the picture, Men in focus </w:t>
      </w:r>
      <w:r w:rsidR="00105C19" w:rsidRPr="00437FB5">
        <w:rPr>
          <w:lang w:eastAsia="en-GB"/>
        </w:rPr>
        <w:t xml:space="preserve">and other key frameworks that guide primary prevention of violence against women in Australia is crucial. For advocates and practitioners working within institutions, this also means being able adapt to the context by developing content that fits with the organisation’s mode of operation and culture. </w:t>
      </w:r>
    </w:p>
    <w:p w14:paraId="4C98237C" w14:textId="77777777" w:rsidR="00105C19" w:rsidRDefault="00105C19" w:rsidP="00105C19">
      <w:pPr>
        <w:rPr>
          <w:lang w:eastAsia="en-GB"/>
        </w:rPr>
        <w:sectPr w:rsidR="00105C19" w:rsidSect="00105C19">
          <w:type w:val="continuous"/>
          <w:pgSz w:w="11900" w:h="16850"/>
          <w:pgMar w:top="1340" w:right="1060" w:bottom="1020" w:left="860" w:header="567" w:footer="824" w:gutter="0"/>
          <w:cols w:num="2" w:space="720"/>
          <w:docGrid w:linePitch="299"/>
        </w:sectPr>
      </w:pPr>
    </w:p>
    <w:p w14:paraId="3A4BCD23" w14:textId="6BD7C76B" w:rsidR="00105C19" w:rsidRDefault="00105C19" w:rsidP="00105C19">
      <w:pPr>
        <w:rPr>
          <w:lang w:eastAsia="en-GB"/>
        </w:rPr>
      </w:pPr>
    </w:p>
    <w:tbl>
      <w:tblPr>
        <w:tblStyle w:val="GridTable1Light-Accent4"/>
        <w:tblW w:w="10424" w:type="dxa"/>
        <w:tblLook w:val="04A0" w:firstRow="1" w:lastRow="0" w:firstColumn="1" w:lastColumn="0" w:noHBand="0" w:noVBand="1"/>
      </w:tblPr>
      <w:tblGrid>
        <w:gridCol w:w="10424"/>
      </w:tblGrid>
      <w:tr w:rsidR="00105C19" w:rsidRPr="00437FB5" w14:paraId="7F45809E" w14:textId="77777777" w:rsidTr="00105C19">
        <w:trPr>
          <w:cnfStyle w:val="100000000000" w:firstRow="1" w:lastRow="0" w:firstColumn="0" w:lastColumn="0" w:oddVBand="0" w:evenVBand="0" w:oddHBand="0" w:evenHBand="0" w:firstRowFirstColumn="0" w:firstRowLastColumn="0" w:lastRowFirstColumn="0" w:lastRowLastColumn="0"/>
          <w:trHeight w:val="4553"/>
        </w:trPr>
        <w:tc>
          <w:tcPr>
            <w:cnfStyle w:val="001000000000" w:firstRow="0" w:lastRow="0" w:firstColumn="1" w:lastColumn="0" w:oddVBand="0" w:evenVBand="0" w:oddHBand="0" w:evenHBand="0" w:firstRowFirstColumn="0" w:firstRowLastColumn="0" w:lastRowFirstColumn="0" w:lastRowLastColumn="0"/>
            <w:tcW w:w="10424" w:type="dxa"/>
            <w:tcBorders>
              <w:top w:val="double" w:sz="4" w:space="0" w:color="B2A1C7" w:themeColor="accent4" w:themeTint="99"/>
              <w:left w:val="double" w:sz="4" w:space="0" w:color="B2A1C7" w:themeColor="accent4" w:themeTint="99"/>
              <w:bottom w:val="double" w:sz="4" w:space="0" w:color="B2A1C7" w:themeColor="accent4" w:themeTint="99"/>
              <w:right w:val="double" w:sz="4" w:space="0" w:color="B2A1C7" w:themeColor="accent4" w:themeTint="99"/>
            </w:tcBorders>
            <w:shd w:val="clear" w:color="auto" w:fill="E5DFEC" w:themeFill="accent4" w:themeFillTint="33"/>
          </w:tcPr>
          <w:p w14:paraId="36C3F499" w14:textId="6F1EBC7E" w:rsidR="00105C19" w:rsidRPr="00105C19" w:rsidRDefault="00105C19" w:rsidP="008E06F4">
            <w:pPr>
              <w:pStyle w:val="Caption"/>
              <w:rPr>
                <w:b w:val="0"/>
                <w:bCs w:val="0"/>
                <w:color w:val="F79646" w:themeColor="accent6"/>
                <w:sz w:val="22"/>
                <w:szCs w:val="22"/>
              </w:rPr>
            </w:pPr>
            <w:bookmarkStart w:id="118" w:name="_Toc75940828"/>
            <w:r w:rsidRPr="00105C19">
              <w:rPr>
                <w:b w:val="0"/>
                <w:bCs w:val="0"/>
                <w:color w:val="F79646" w:themeColor="accent6"/>
                <w:sz w:val="22"/>
                <w:szCs w:val="22"/>
              </w:rPr>
              <w:t xml:space="preserve">Highlight Box </w:t>
            </w:r>
            <w:r w:rsidRPr="00105C19">
              <w:rPr>
                <w:color w:val="F79646" w:themeColor="accent6"/>
                <w:sz w:val="22"/>
                <w:szCs w:val="22"/>
                <w:shd w:val="clear" w:color="auto" w:fill="E6E6E6"/>
              </w:rPr>
              <w:fldChar w:fldCharType="begin"/>
            </w:r>
            <w:r w:rsidRPr="00105C19">
              <w:rPr>
                <w:b w:val="0"/>
                <w:bCs w:val="0"/>
                <w:color w:val="F79646" w:themeColor="accent6"/>
                <w:sz w:val="22"/>
                <w:szCs w:val="22"/>
              </w:rPr>
              <w:instrText xml:space="preserve"> SEQ Highlight_Box \* ARABIC </w:instrText>
            </w:r>
            <w:r w:rsidRPr="00105C19">
              <w:rPr>
                <w:color w:val="F79646" w:themeColor="accent6"/>
                <w:sz w:val="22"/>
                <w:szCs w:val="22"/>
                <w:shd w:val="clear" w:color="auto" w:fill="E6E6E6"/>
              </w:rPr>
              <w:fldChar w:fldCharType="separate"/>
            </w:r>
            <w:r w:rsidR="00D93EBF">
              <w:rPr>
                <w:b w:val="0"/>
                <w:bCs w:val="0"/>
                <w:noProof/>
                <w:color w:val="F79646" w:themeColor="accent6"/>
                <w:sz w:val="22"/>
                <w:szCs w:val="22"/>
              </w:rPr>
              <w:t>5</w:t>
            </w:r>
            <w:r w:rsidRPr="00105C19">
              <w:rPr>
                <w:color w:val="F79646" w:themeColor="accent6"/>
                <w:sz w:val="22"/>
                <w:szCs w:val="22"/>
                <w:shd w:val="clear" w:color="auto" w:fill="E6E6E6"/>
              </w:rPr>
              <w:fldChar w:fldCharType="end"/>
            </w:r>
            <w:r w:rsidRPr="00105C19">
              <w:rPr>
                <w:b w:val="0"/>
                <w:bCs w:val="0"/>
                <w:color w:val="F79646" w:themeColor="accent6"/>
                <w:sz w:val="22"/>
                <w:szCs w:val="22"/>
              </w:rPr>
              <w:t>: Managing difficult questions</w:t>
            </w:r>
            <w:r w:rsidRPr="00105C19">
              <w:rPr>
                <w:rStyle w:val="FootnoteReference"/>
                <w:color w:val="F79646" w:themeColor="accent6"/>
                <w:sz w:val="22"/>
                <w:szCs w:val="22"/>
              </w:rPr>
              <w:footnoteReference w:id="26"/>
            </w:r>
            <w:bookmarkEnd w:id="118"/>
            <w:r w:rsidRPr="00105C19">
              <w:rPr>
                <w:b w:val="0"/>
                <w:bCs w:val="0"/>
                <w:color w:val="F79646" w:themeColor="accent6"/>
                <w:sz w:val="22"/>
                <w:szCs w:val="22"/>
              </w:rPr>
              <w:t xml:space="preserve"> </w:t>
            </w:r>
          </w:p>
          <w:p w14:paraId="168B6FB2" w14:textId="79269613" w:rsidR="00105C19" w:rsidRPr="00437FB5" w:rsidRDefault="00105C19" w:rsidP="00B01F9C">
            <w:pPr>
              <w:pStyle w:val="ListParagraph"/>
              <w:numPr>
                <w:ilvl w:val="0"/>
                <w:numId w:val="22"/>
              </w:numPr>
              <w:spacing w:before="0" w:after="120"/>
              <w:ind w:left="714" w:hanging="357"/>
              <w:rPr>
                <w:b w:val="0"/>
                <w:bCs w:val="0"/>
                <w:color w:val="000000" w:themeColor="text1"/>
                <w:lang w:eastAsia="en-GB"/>
              </w:rPr>
            </w:pPr>
            <w:r w:rsidRPr="00437FB5">
              <w:rPr>
                <w:b w:val="0"/>
                <w:bCs w:val="0"/>
                <w:color w:val="000000" w:themeColor="text1"/>
                <w:lang w:eastAsia="en-GB"/>
              </w:rPr>
              <w:t>Understand that resistance and backlash is an inevitable part of a change process</w:t>
            </w:r>
            <w:r w:rsidR="007E6B9F">
              <w:rPr>
                <w:b w:val="0"/>
                <w:bCs w:val="0"/>
                <w:color w:val="000000" w:themeColor="text1"/>
                <w:lang w:eastAsia="en-GB"/>
              </w:rPr>
              <w:t>.</w:t>
            </w:r>
          </w:p>
          <w:p w14:paraId="7E48B888" w14:textId="77777777" w:rsidR="00105C19" w:rsidRPr="00437FB5" w:rsidRDefault="00105C19" w:rsidP="00B01F9C">
            <w:pPr>
              <w:pStyle w:val="ListParagraph"/>
              <w:numPr>
                <w:ilvl w:val="0"/>
                <w:numId w:val="22"/>
              </w:numPr>
              <w:spacing w:before="0" w:after="120"/>
              <w:ind w:left="714" w:hanging="357"/>
              <w:rPr>
                <w:b w:val="0"/>
                <w:bCs w:val="0"/>
                <w:color w:val="000000" w:themeColor="text1"/>
                <w:lang w:eastAsia="en-GB"/>
              </w:rPr>
            </w:pPr>
            <w:r w:rsidRPr="00437FB5">
              <w:rPr>
                <w:b w:val="0"/>
                <w:bCs w:val="0"/>
                <w:color w:val="000000" w:themeColor="text1"/>
                <w:lang w:eastAsia="en-GB"/>
              </w:rPr>
              <w:t>Be present in the conversation by acknowledging the other person’s question or concern.</w:t>
            </w:r>
          </w:p>
          <w:p w14:paraId="46DC3470" w14:textId="5FEBEE6C" w:rsidR="00105C19" w:rsidRPr="00437FB5" w:rsidRDefault="00105C19" w:rsidP="00B01F9C">
            <w:pPr>
              <w:pStyle w:val="ListParagraph"/>
              <w:numPr>
                <w:ilvl w:val="0"/>
                <w:numId w:val="22"/>
              </w:numPr>
              <w:spacing w:before="0" w:after="120"/>
              <w:ind w:left="714" w:hanging="357"/>
              <w:rPr>
                <w:b w:val="0"/>
                <w:bCs w:val="0"/>
                <w:color w:val="000000" w:themeColor="text1"/>
                <w:lang w:eastAsia="en-GB"/>
              </w:rPr>
            </w:pPr>
            <w:r w:rsidRPr="00437FB5">
              <w:rPr>
                <w:b w:val="0"/>
                <w:bCs w:val="0"/>
                <w:color w:val="000000" w:themeColor="text1"/>
                <w:lang w:eastAsia="en-GB"/>
              </w:rPr>
              <w:t>Be open, looking for common ground and values that you both agree on</w:t>
            </w:r>
            <w:r w:rsidR="007E6B9F">
              <w:rPr>
                <w:b w:val="0"/>
                <w:bCs w:val="0"/>
                <w:color w:val="000000" w:themeColor="text1"/>
                <w:lang w:eastAsia="en-GB"/>
              </w:rPr>
              <w:t>.</w:t>
            </w:r>
          </w:p>
          <w:p w14:paraId="08D4906C" w14:textId="77777777" w:rsidR="00105C19" w:rsidRPr="00437FB5" w:rsidRDefault="00105C19" w:rsidP="00B01F9C">
            <w:pPr>
              <w:pStyle w:val="ListParagraph"/>
              <w:numPr>
                <w:ilvl w:val="0"/>
                <w:numId w:val="22"/>
              </w:numPr>
              <w:spacing w:before="0" w:after="120"/>
              <w:ind w:left="714" w:hanging="357"/>
              <w:rPr>
                <w:b w:val="0"/>
                <w:bCs w:val="0"/>
                <w:color w:val="000000" w:themeColor="text1"/>
                <w:lang w:eastAsia="en-GB"/>
              </w:rPr>
            </w:pPr>
            <w:r w:rsidRPr="00437FB5">
              <w:rPr>
                <w:b w:val="0"/>
                <w:bCs w:val="0"/>
                <w:color w:val="000000" w:themeColor="text1"/>
                <w:lang w:eastAsia="en-GB"/>
              </w:rPr>
              <w:t>Be prepared, including planning for the types of questions you might receive, having the right information and evidence about gender equality and violence against women.</w:t>
            </w:r>
          </w:p>
          <w:p w14:paraId="5DB529A4" w14:textId="77777777" w:rsidR="00105C19" w:rsidRPr="00437FB5" w:rsidRDefault="00105C19" w:rsidP="00B01F9C">
            <w:pPr>
              <w:pStyle w:val="ListParagraph"/>
              <w:numPr>
                <w:ilvl w:val="0"/>
                <w:numId w:val="22"/>
              </w:numPr>
              <w:spacing w:before="0" w:after="120"/>
              <w:ind w:left="714" w:hanging="357"/>
              <w:rPr>
                <w:b w:val="0"/>
                <w:bCs w:val="0"/>
                <w:color w:val="000000" w:themeColor="text1"/>
                <w:lang w:eastAsia="en-GB"/>
              </w:rPr>
            </w:pPr>
            <w:r w:rsidRPr="00437FB5">
              <w:rPr>
                <w:b w:val="0"/>
                <w:bCs w:val="0"/>
                <w:color w:val="000000" w:themeColor="text1"/>
                <w:lang w:eastAsia="en-GB"/>
              </w:rPr>
              <w:t xml:space="preserve">Practice talking about the gendered drivers of violence against women, formulating responses that are short, clear statements supported by evidence and examples.  </w:t>
            </w:r>
          </w:p>
          <w:p w14:paraId="0A0B7171" w14:textId="77777777" w:rsidR="00105C19" w:rsidRPr="00437FB5" w:rsidRDefault="00105C19" w:rsidP="00B01F9C">
            <w:pPr>
              <w:pStyle w:val="ListParagraph"/>
              <w:numPr>
                <w:ilvl w:val="0"/>
                <w:numId w:val="22"/>
              </w:numPr>
              <w:spacing w:before="0" w:after="120"/>
              <w:ind w:left="714" w:hanging="357"/>
              <w:rPr>
                <w:b w:val="0"/>
                <w:bCs w:val="0"/>
                <w:color w:val="000000" w:themeColor="text1"/>
                <w:lang w:eastAsia="en-GB"/>
              </w:rPr>
            </w:pPr>
            <w:r w:rsidRPr="00437FB5">
              <w:rPr>
                <w:b w:val="0"/>
                <w:bCs w:val="0"/>
                <w:color w:val="000000" w:themeColor="text1"/>
                <w:lang w:eastAsia="en-GB"/>
              </w:rPr>
              <w:t>Make time for self-reflection on the discussions and assumptions and values you bring to the work.</w:t>
            </w:r>
          </w:p>
          <w:p w14:paraId="740BAF00" w14:textId="77777777" w:rsidR="00105C19" w:rsidRPr="00437FB5" w:rsidRDefault="00105C19" w:rsidP="00B01F9C">
            <w:pPr>
              <w:pStyle w:val="ListParagraph"/>
              <w:keepNext/>
              <w:numPr>
                <w:ilvl w:val="0"/>
                <w:numId w:val="22"/>
              </w:numPr>
              <w:spacing w:before="0" w:after="120"/>
              <w:ind w:left="714" w:hanging="357"/>
              <w:rPr>
                <w:color w:val="000000" w:themeColor="text1"/>
                <w:lang w:eastAsia="en-GB"/>
              </w:rPr>
            </w:pPr>
            <w:r w:rsidRPr="00437FB5">
              <w:rPr>
                <w:b w:val="0"/>
                <w:bCs w:val="0"/>
                <w:color w:val="000000" w:themeColor="text1"/>
                <w:lang w:eastAsia="en-GB"/>
              </w:rPr>
              <w:t>Respect the people you are engaging, starting with acknowledging that many of the issues may challenge people’s identity, beliefs, behaviour, life choices and privilege.</w:t>
            </w:r>
            <w:r w:rsidRPr="00437FB5">
              <w:rPr>
                <w:color w:val="000000" w:themeColor="text1"/>
                <w:lang w:eastAsia="en-GB"/>
              </w:rPr>
              <w:t xml:space="preserve"> </w:t>
            </w:r>
          </w:p>
        </w:tc>
      </w:tr>
    </w:tbl>
    <w:p w14:paraId="067565AF" w14:textId="77777777" w:rsidR="00105C19" w:rsidRDefault="00105C19" w:rsidP="00105C19">
      <w:pPr>
        <w:rPr>
          <w:lang w:eastAsia="en-GB"/>
        </w:rPr>
        <w:sectPr w:rsidR="00105C19" w:rsidSect="00105C19">
          <w:type w:val="continuous"/>
          <w:pgSz w:w="11900" w:h="16850"/>
          <w:pgMar w:top="1340" w:right="1060" w:bottom="1020" w:left="860" w:header="567" w:footer="824" w:gutter="0"/>
          <w:cols w:space="720"/>
          <w:docGrid w:linePitch="299"/>
        </w:sectPr>
      </w:pPr>
    </w:p>
    <w:p w14:paraId="2F9C6347" w14:textId="26C287D4" w:rsidR="00105C19" w:rsidRPr="00437FB5" w:rsidRDefault="00105C19" w:rsidP="00105C19">
      <w:pPr>
        <w:rPr>
          <w:lang w:eastAsia="en-GB"/>
        </w:rPr>
      </w:pPr>
      <w:r w:rsidRPr="00437FB5">
        <w:rPr>
          <w:lang w:eastAsia="en-GB"/>
        </w:rPr>
        <w:t xml:space="preserve">Sometimes, people who are implementing change processes may not have the expertise required to respond to high levels of resistance and backlash, especially in settings that have pre-existing backlash </w:t>
      </w:r>
      <w:r w:rsidRPr="00437FB5">
        <w:rPr>
          <w:lang w:eastAsia="en-GB"/>
        </w:rPr>
        <w:t xml:space="preserve">towards gendered drivers of violence </w:t>
      </w:r>
      <w:r>
        <w:rPr>
          <w:lang w:eastAsia="en-GB"/>
        </w:rPr>
        <w:t>(such as</w:t>
      </w:r>
      <w:r w:rsidRPr="00437FB5">
        <w:rPr>
          <w:lang w:eastAsia="en-GB"/>
        </w:rPr>
        <w:t xml:space="preserve"> social media, some political parties and institutions, male-dominated sporting codes and sectors </w:t>
      </w:r>
      <w:r>
        <w:rPr>
          <w:lang w:eastAsia="en-GB"/>
        </w:rPr>
        <w:t>and so on</w:t>
      </w:r>
      <w:r w:rsidRPr="00437FB5">
        <w:rPr>
          <w:lang w:eastAsia="en-GB"/>
        </w:rPr>
        <w:t xml:space="preserve">). In these instances, it is useful to connect and work with </w:t>
      </w:r>
      <w:r w:rsidRPr="00437FB5">
        <w:rPr>
          <w:lang w:eastAsia="en-GB"/>
        </w:rPr>
        <w:lastRenderedPageBreak/>
        <w:t xml:space="preserve">violence prevention specialists and specialist organisations to support the primary prevention change process (see </w:t>
      </w:r>
      <w:r>
        <w:rPr>
          <w:lang w:eastAsia="en-GB"/>
        </w:rPr>
        <w:t>S</w:t>
      </w:r>
      <w:r w:rsidRPr="00437FB5">
        <w:rPr>
          <w:lang w:eastAsia="en-GB"/>
        </w:rPr>
        <w:t>ection 5.1.5 below).</w:t>
      </w:r>
    </w:p>
    <w:p w14:paraId="0BA74BD0" w14:textId="2C141DF7" w:rsidR="00105C19" w:rsidRDefault="00105C19" w:rsidP="00105C19">
      <w:pPr>
        <w:rPr>
          <w:lang w:eastAsia="en-GB"/>
        </w:rPr>
      </w:pPr>
    </w:p>
    <w:p w14:paraId="548574CC" w14:textId="2736B8F6" w:rsidR="00105C19" w:rsidRPr="007F50DB" w:rsidRDefault="00105C19" w:rsidP="00105C19">
      <w:pPr>
        <w:pStyle w:val="Heading3"/>
        <w:tabs>
          <w:tab w:val="left" w:pos="1418"/>
        </w:tabs>
        <w:spacing w:before="0" w:after="120"/>
        <w:rPr>
          <w:rFonts w:eastAsia="Arial" w:cs="Arial"/>
          <w:bCs/>
          <w:sz w:val="32"/>
          <w:szCs w:val="24"/>
        </w:rPr>
      </w:pPr>
      <w:bookmarkStart w:id="119" w:name="_Toc85620749"/>
      <w:bookmarkStart w:id="120" w:name="_Toc87526336"/>
      <w:r w:rsidRPr="007F50DB">
        <w:rPr>
          <w:rFonts w:eastAsia="Arial" w:cs="Arial"/>
          <w:bCs/>
          <w:sz w:val="32"/>
          <w:szCs w:val="24"/>
        </w:rPr>
        <w:t>Communications</w:t>
      </w:r>
      <w:bookmarkEnd w:id="119"/>
      <w:bookmarkEnd w:id="120"/>
    </w:p>
    <w:p w14:paraId="71C910B7" w14:textId="77777777" w:rsidR="00105C19" w:rsidRDefault="00105C19" w:rsidP="00105C19">
      <w:pPr>
        <w:rPr>
          <w:lang w:eastAsia="en-GB"/>
        </w:rPr>
      </w:pPr>
      <w:r w:rsidRPr="00437FB5">
        <w:rPr>
          <w:lang w:eastAsia="en-GB"/>
        </w:rPr>
        <w:t xml:space="preserve">A communication strategy that is transparent, raises awareness and strengthens commitment to addressing the gendered drivers within the organisation is important in minimising resistance both internally and amongst key external stakeholders and the </w:t>
      </w:r>
      <w:proofErr w:type="gramStart"/>
      <w:r w:rsidRPr="00437FB5">
        <w:rPr>
          <w:lang w:eastAsia="en-GB"/>
        </w:rPr>
        <w:t>general public</w:t>
      </w:r>
      <w:proofErr w:type="gramEnd"/>
      <w:r w:rsidRPr="00437FB5">
        <w:rPr>
          <w:lang w:eastAsia="en-GB"/>
        </w:rPr>
        <w:t xml:space="preserve"> (EIGE 2016</w:t>
      </w:r>
      <w:r>
        <w:rPr>
          <w:lang w:eastAsia="en-GB"/>
        </w:rPr>
        <w:t>,</w:t>
      </w:r>
      <w:r w:rsidRPr="00437FB5">
        <w:rPr>
          <w:lang w:eastAsia="en-GB"/>
        </w:rPr>
        <w:t xml:space="preserve"> p. 28). The objectives of primary prevention, and an explanation of the gendered drivers of violence against women need to be clearly articulated and tailored to suit the audience, including opportunities for specific training and knowledge dissemination of why the institution is </w:t>
      </w:r>
      <w:r>
        <w:rPr>
          <w:lang w:eastAsia="en-GB"/>
        </w:rPr>
        <w:t>undertaking</w:t>
      </w:r>
      <w:r w:rsidRPr="00437FB5">
        <w:rPr>
          <w:lang w:eastAsia="en-GB"/>
        </w:rPr>
        <w:t xml:space="preserve"> primary prevention. </w:t>
      </w:r>
    </w:p>
    <w:p w14:paraId="4993345E" w14:textId="77777777" w:rsidR="00105C19" w:rsidRDefault="00105C19" w:rsidP="00105C19">
      <w:pPr>
        <w:rPr>
          <w:lang w:eastAsia="en-GB"/>
        </w:rPr>
      </w:pPr>
    </w:p>
    <w:p w14:paraId="196DD431" w14:textId="60A29201" w:rsidR="00105C19" w:rsidRDefault="00105C19" w:rsidP="00105C19">
      <w:pPr>
        <w:rPr>
          <w:lang w:eastAsia="en-GB"/>
        </w:rPr>
      </w:pPr>
      <w:r w:rsidRPr="00437FB5">
        <w:rPr>
          <w:lang w:eastAsia="en-GB"/>
        </w:rPr>
        <w:t xml:space="preserve">Communication channels (emails, newsletters, meetings, social media, websites, public events, leadership statements </w:t>
      </w:r>
      <w:r w:rsidR="00803BF0">
        <w:rPr>
          <w:lang w:eastAsia="en-GB"/>
        </w:rPr>
        <w:t>and so on)</w:t>
      </w:r>
      <w:r w:rsidRPr="00437FB5">
        <w:rPr>
          <w:lang w:eastAsia="en-GB"/>
        </w:rPr>
        <w:t xml:space="preserve"> </w:t>
      </w:r>
      <w:r>
        <w:rPr>
          <w:lang w:eastAsia="en-GB"/>
        </w:rPr>
        <w:t xml:space="preserve">are an opportunity </w:t>
      </w:r>
      <w:r w:rsidRPr="00437FB5">
        <w:rPr>
          <w:lang w:eastAsia="en-GB"/>
        </w:rPr>
        <w:t xml:space="preserve">to introduce primary prevention as </w:t>
      </w:r>
      <w:r>
        <w:rPr>
          <w:lang w:eastAsia="en-GB"/>
        </w:rPr>
        <w:t xml:space="preserve">a strategy that </w:t>
      </w:r>
      <w:r w:rsidRPr="00437FB5">
        <w:rPr>
          <w:lang w:eastAsia="en-GB"/>
        </w:rPr>
        <w:t>align</w:t>
      </w:r>
      <w:r>
        <w:rPr>
          <w:lang w:eastAsia="en-GB"/>
        </w:rPr>
        <w:t>s with</w:t>
      </w:r>
      <w:r w:rsidRPr="00437FB5">
        <w:rPr>
          <w:lang w:eastAsia="en-GB"/>
        </w:rPr>
        <w:t xml:space="preserve"> institutional and organisational values</w:t>
      </w:r>
      <w:r>
        <w:rPr>
          <w:lang w:eastAsia="en-GB"/>
        </w:rPr>
        <w:t>. W</w:t>
      </w:r>
      <w:r w:rsidRPr="00437FB5">
        <w:rPr>
          <w:lang w:eastAsia="en-GB"/>
        </w:rPr>
        <w:t>ith leadership endorsement</w:t>
      </w:r>
      <w:r>
        <w:rPr>
          <w:lang w:eastAsia="en-GB"/>
        </w:rPr>
        <w:t xml:space="preserve"> this </w:t>
      </w:r>
      <w:r w:rsidRPr="00437FB5">
        <w:rPr>
          <w:lang w:eastAsia="en-GB"/>
        </w:rPr>
        <w:t xml:space="preserve">can help mitigate resistance towards the initiative. By </w:t>
      </w:r>
      <w:r>
        <w:rPr>
          <w:lang w:eastAsia="en-GB"/>
        </w:rPr>
        <w:t>effectively</w:t>
      </w:r>
      <w:r w:rsidRPr="00437FB5">
        <w:rPr>
          <w:lang w:eastAsia="en-GB"/>
        </w:rPr>
        <w:t xml:space="preserve"> communicating the </w:t>
      </w:r>
      <w:r>
        <w:rPr>
          <w:lang w:eastAsia="en-GB"/>
        </w:rPr>
        <w:t xml:space="preserve">change process – both </w:t>
      </w:r>
      <w:r w:rsidRPr="00437FB5">
        <w:rPr>
          <w:lang w:eastAsia="en-GB"/>
        </w:rPr>
        <w:t xml:space="preserve">what </w:t>
      </w:r>
      <w:r>
        <w:rPr>
          <w:lang w:eastAsia="en-GB"/>
        </w:rPr>
        <w:t>the</w:t>
      </w:r>
      <w:r w:rsidRPr="00437FB5">
        <w:rPr>
          <w:lang w:eastAsia="en-GB"/>
        </w:rPr>
        <w:t xml:space="preserve"> organisation is doing</w:t>
      </w:r>
      <w:r>
        <w:rPr>
          <w:lang w:eastAsia="en-GB"/>
        </w:rPr>
        <w:t xml:space="preserve"> and</w:t>
      </w:r>
      <w:r w:rsidRPr="00437FB5">
        <w:rPr>
          <w:lang w:eastAsia="en-GB"/>
        </w:rPr>
        <w:t xml:space="preserve"> the goals and reasons behind the</w:t>
      </w:r>
      <w:r>
        <w:rPr>
          <w:lang w:eastAsia="en-GB"/>
        </w:rPr>
        <w:t>se actions</w:t>
      </w:r>
      <w:r w:rsidRPr="00437FB5">
        <w:rPr>
          <w:lang w:eastAsia="en-GB"/>
        </w:rPr>
        <w:t xml:space="preserve">, an organisation can help mitigate </w:t>
      </w:r>
      <w:r>
        <w:rPr>
          <w:lang w:eastAsia="en-GB"/>
        </w:rPr>
        <w:t xml:space="preserve">any </w:t>
      </w:r>
      <w:r w:rsidRPr="00437FB5">
        <w:rPr>
          <w:lang w:eastAsia="en-GB"/>
        </w:rPr>
        <w:t>fears and anxieties about the impacts of primary prevention initiatives.</w:t>
      </w:r>
      <w:r w:rsidRPr="00437FB5">
        <w:rPr>
          <w:rStyle w:val="FootnoteReference"/>
          <w:lang w:eastAsia="en-GB"/>
        </w:rPr>
        <w:footnoteReference w:id="27"/>
      </w:r>
      <w:r w:rsidRPr="00437FB5">
        <w:rPr>
          <w:lang w:eastAsia="en-GB"/>
        </w:rPr>
        <w:t xml:space="preserve"> </w:t>
      </w:r>
    </w:p>
    <w:p w14:paraId="2866F2ED" w14:textId="77777777" w:rsidR="00105C19" w:rsidRDefault="00105C19" w:rsidP="00105C19">
      <w:pPr>
        <w:rPr>
          <w:lang w:eastAsia="en-GB"/>
        </w:rPr>
      </w:pPr>
    </w:p>
    <w:p w14:paraId="2F4CC59A" w14:textId="25722E4C" w:rsidR="00105C19" w:rsidRPr="00437FB5" w:rsidRDefault="00105C19" w:rsidP="00105C19">
      <w:pPr>
        <w:rPr>
          <w:b/>
          <w:bCs/>
          <w:lang w:eastAsia="en-GB"/>
        </w:rPr>
      </w:pPr>
      <w:r w:rsidRPr="00437FB5">
        <w:rPr>
          <w:lang w:eastAsia="en-GB"/>
        </w:rPr>
        <w:t>For example, this is particularly pertinent with regards to changes in organisational practices such as hiring, retention and promotion practices</w:t>
      </w:r>
      <w:r>
        <w:rPr>
          <w:lang w:eastAsia="en-GB"/>
        </w:rPr>
        <w:t xml:space="preserve">, where there is often a </w:t>
      </w:r>
      <w:r>
        <w:rPr>
          <w:lang w:eastAsia="en-GB"/>
        </w:rPr>
        <w:t xml:space="preserve">need to </w:t>
      </w:r>
      <w:r w:rsidRPr="00437FB5">
        <w:rPr>
          <w:lang w:eastAsia="en-GB"/>
        </w:rPr>
        <w:t xml:space="preserve">debunk myths around meritocracy and </w:t>
      </w:r>
      <w:r>
        <w:rPr>
          <w:lang w:eastAsia="en-GB"/>
        </w:rPr>
        <w:t xml:space="preserve">negative perceptions of </w:t>
      </w:r>
      <w:r w:rsidRPr="00437FB5">
        <w:rPr>
          <w:lang w:eastAsia="en-GB"/>
        </w:rPr>
        <w:t>quotas</w:t>
      </w:r>
      <w:r>
        <w:rPr>
          <w:lang w:eastAsia="en-GB"/>
        </w:rPr>
        <w:t xml:space="preserve"> or </w:t>
      </w:r>
      <w:r w:rsidRPr="00437FB5">
        <w:rPr>
          <w:lang w:eastAsia="en-GB"/>
        </w:rPr>
        <w:t>affirmative action</w:t>
      </w:r>
      <w:r>
        <w:rPr>
          <w:lang w:eastAsia="en-GB"/>
        </w:rPr>
        <w:t>,</w:t>
      </w:r>
      <w:r w:rsidRPr="00437FB5">
        <w:rPr>
          <w:lang w:eastAsia="en-GB"/>
        </w:rPr>
        <w:t xml:space="preserve"> by illustrating the broader structural and systemic barriers women and other marginalised groups experience in accessing </w:t>
      </w:r>
      <w:r>
        <w:rPr>
          <w:lang w:eastAsia="en-GB"/>
        </w:rPr>
        <w:t xml:space="preserve">employment and career </w:t>
      </w:r>
      <w:r w:rsidRPr="00437FB5">
        <w:rPr>
          <w:lang w:eastAsia="en-GB"/>
        </w:rPr>
        <w:t>opportunities (</w:t>
      </w:r>
      <w:r>
        <w:rPr>
          <w:lang w:eastAsia="en-GB"/>
        </w:rPr>
        <w:t xml:space="preserve">CEW and MCC </w:t>
      </w:r>
      <w:r w:rsidRPr="00437FB5">
        <w:rPr>
          <w:lang w:eastAsia="en-GB"/>
        </w:rPr>
        <w:t xml:space="preserve">2016). </w:t>
      </w:r>
    </w:p>
    <w:p w14:paraId="1ACE62F0" w14:textId="77777777" w:rsidR="00105C19" w:rsidRPr="00437FB5" w:rsidRDefault="00105C19" w:rsidP="00105C19">
      <w:pPr>
        <w:rPr>
          <w:lang w:eastAsia="en-GB"/>
        </w:rPr>
      </w:pPr>
    </w:p>
    <w:p w14:paraId="6E45B3EE" w14:textId="6D8DF907" w:rsidR="00105C19" w:rsidRPr="007F50DB" w:rsidRDefault="00105C19" w:rsidP="00105C19">
      <w:pPr>
        <w:pStyle w:val="Heading3"/>
        <w:tabs>
          <w:tab w:val="left" w:pos="1418"/>
        </w:tabs>
        <w:spacing w:before="0" w:after="120"/>
        <w:rPr>
          <w:rFonts w:eastAsia="Arial" w:cs="Arial"/>
          <w:bCs/>
          <w:sz w:val="32"/>
          <w:szCs w:val="24"/>
        </w:rPr>
      </w:pPr>
      <w:bookmarkStart w:id="121" w:name="_Toc85620750"/>
      <w:bookmarkStart w:id="122" w:name="_Toc87526337"/>
      <w:r w:rsidRPr="007F50DB">
        <w:rPr>
          <w:rFonts w:eastAsia="Arial" w:cs="Arial"/>
          <w:bCs/>
          <w:sz w:val="32"/>
          <w:szCs w:val="24"/>
        </w:rPr>
        <w:t>Institutional legitimacy</w:t>
      </w:r>
      <w:bookmarkEnd w:id="121"/>
      <w:bookmarkEnd w:id="122"/>
    </w:p>
    <w:p w14:paraId="71FAA36A" w14:textId="77777777" w:rsidR="00105C19" w:rsidRDefault="00105C19" w:rsidP="00105C19">
      <w:pPr>
        <w:rPr>
          <w:lang w:eastAsia="en-GB"/>
        </w:rPr>
      </w:pPr>
      <w:r w:rsidRPr="00437FB5">
        <w:rPr>
          <w:lang w:eastAsia="en-GB"/>
        </w:rPr>
        <w:t xml:space="preserve">A key component for the long-term sustainability of primary prevention is creating the capacity for the change to be successful. This includes the necessary human and financial resourcing of the initiative (and associated awareness and capacity building) as well as legitimising the initiative through its location in the organisational structure and </w:t>
      </w:r>
      <w:r>
        <w:rPr>
          <w:lang w:eastAsia="en-GB"/>
        </w:rPr>
        <w:t xml:space="preserve">the </w:t>
      </w:r>
      <w:r w:rsidRPr="00437FB5">
        <w:rPr>
          <w:lang w:eastAsia="en-GB"/>
        </w:rPr>
        <w:t xml:space="preserve">time, </w:t>
      </w:r>
      <w:proofErr w:type="gramStart"/>
      <w:r w:rsidRPr="00437FB5">
        <w:rPr>
          <w:lang w:eastAsia="en-GB"/>
        </w:rPr>
        <w:t>energy</w:t>
      </w:r>
      <w:proofErr w:type="gramEnd"/>
      <w:r w:rsidRPr="00437FB5">
        <w:rPr>
          <w:lang w:eastAsia="en-GB"/>
        </w:rPr>
        <w:t xml:space="preserve"> and attention</w:t>
      </w:r>
      <w:r>
        <w:rPr>
          <w:lang w:eastAsia="en-GB"/>
        </w:rPr>
        <w:t xml:space="preserve"> it is afforded</w:t>
      </w:r>
      <w:r w:rsidRPr="00437FB5">
        <w:rPr>
          <w:lang w:eastAsia="en-GB"/>
        </w:rPr>
        <w:t>. This might include making it a standing agenda item at regular organisational, departmental and team meetings</w:t>
      </w:r>
      <w:r>
        <w:rPr>
          <w:lang w:eastAsia="en-GB"/>
        </w:rPr>
        <w:t>;</w:t>
      </w:r>
      <w:r w:rsidRPr="00437FB5">
        <w:rPr>
          <w:lang w:eastAsia="en-GB"/>
        </w:rPr>
        <w:t xml:space="preserve"> ensuring inclusive and gender-sensitive language in internal and external communication and events</w:t>
      </w:r>
      <w:r>
        <w:rPr>
          <w:lang w:eastAsia="en-GB"/>
        </w:rPr>
        <w:t>;</w:t>
      </w:r>
      <w:r w:rsidRPr="00437FB5">
        <w:rPr>
          <w:lang w:eastAsia="en-GB"/>
        </w:rPr>
        <w:t xml:space="preserve"> and connecting to events highlighting violence against women and gender equality (e.g., 16 Days of Activism) </w:t>
      </w:r>
      <w:proofErr w:type="gramStart"/>
      <w:r>
        <w:rPr>
          <w:lang w:eastAsia="en-GB"/>
        </w:rPr>
        <w:t xml:space="preserve">as a way </w:t>
      </w:r>
      <w:r w:rsidRPr="00437FB5">
        <w:rPr>
          <w:lang w:eastAsia="en-GB"/>
        </w:rPr>
        <w:t>to</w:t>
      </w:r>
      <w:proofErr w:type="gramEnd"/>
      <w:r w:rsidRPr="00437FB5">
        <w:rPr>
          <w:lang w:eastAsia="en-GB"/>
        </w:rPr>
        <w:t xml:space="preserve"> re-commit to primary prevention and highlight ongoing efforts.</w:t>
      </w:r>
    </w:p>
    <w:p w14:paraId="375C0F4C" w14:textId="77777777" w:rsidR="00105C19" w:rsidRDefault="00105C19" w:rsidP="00105C19">
      <w:pPr>
        <w:rPr>
          <w:lang w:eastAsia="en-GB"/>
        </w:rPr>
      </w:pPr>
    </w:p>
    <w:p w14:paraId="1D70A554" w14:textId="77777777" w:rsidR="00105C19" w:rsidRDefault="00105C19" w:rsidP="00105C19">
      <w:r>
        <w:t>C</w:t>
      </w:r>
      <w:r w:rsidRPr="00437FB5">
        <w:t xml:space="preserve">hanges of personnel in decision-making positions can also be challenging and produce resistance. Despite the institutionalisation of gender equality through policies and laws, individuals may resist and be unsupportive of gender equality </w:t>
      </w:r>
      <w:r>
        <w:t>or</w:t>
      </w:r>
      <w:r w:rsidRPr="00437FB5">
        <w:t xml:space="preserve"> have little or no knowledge about gender</w:t>
      </w:r>
      <w:r>
        <w:t xml:space="preserve"> issues</w:t>
      </w:r>
      <w:r w:rsidRPr="00437FB5">
        <w:t xml:space="preserve">. A ‘revolving door’ of personnel makes it difficult to have consistent and sustainable shared learning and action around primary prevention (FESTA 2016). </w:t>
      </w:r>
    </w:p>
    <w:p w14:paraId="1A6626D0" w14:textId="77777777" w:rsidR="00105C19" w:rsidRDefault="00105C19" w:rsidP="00105C19"/>
    <w:p w14:paraId="61C3AA4D" w14:textId="467DCFCB" w:rsidR="00105C19" w:rsidRDefault="00105C19" w:rsidP="00105C19">
      <w:pPr>
        <w:rPr>
          <w:lang w:eastAsia="en-GB"/>
        </w:rPr>
      </w:pPr>
      <w:r w:rsidRPr="00437FB5">
        <w:rPr>
          <w:lang w:eastAsia="en-GB"/>
        </w:rPr>
        <w:t xml:space="preserve">To minimise resistance, it is important to establish relevant institutional mechanisms to ensure open dialogue between individuals responsible for implementing primary prevention and relevant </w:t>
      </w:r>
      <w:r>
        <w:rPr>
          <w:lang w:eastAsia="en-GB"/>
        </w:rPr>
        <w:t>decision-makers/</w:t>
      </w:r>
      <w:r w:rsidRPr="00437FB5">
        <w:rPr>
          <w:lang w:eastAsia="en-GB"/>
        </w:rPr>
        <w:t xml:space="preserve">people in positions of </w:t>
      </w:r>
      <w:r>
        <w:rPr>
          <w:lang w:eastAsia="en-GB"/>
        </w:rPr>
        <w:t>power</w:t>
      </w:r>
      <w:r w:rsidRPr="00437FB5">
        <w:rPr>
          <w:lang w:eastAsia="en-GB"/>
        </w:rPr>
        <w:t xml:space="preserve">. This could include organisational leaders sponsoring the initiative, or individuals responsible for primary prevention directly reporting to specific leaders (e.g., Minister or CEO). </w:t>
      </w:r>
    </w:p>
    <w:p w14:paraId="63998027" w14:textId="77777777" w:rsidR="00105C19" w:rsidRDefault="00105C19" w:rsidP="00105C19">
      <w:pPr>
        <w:rPr>
          <w:lang w:eastAsia="en-GB"/>
        </w:rPr>
      </w:pPr>
    </w:p>
    <w:p w14:paraId="21395081" w14:textId="6087722B" w:rsidR="00105C19" w:rsidRPr="007F50DB" w:rsidRDefault="00105C19" w:rsidP="00105C19">
      <w:pPr>
        <w:pStyle w:val="Heading3"/>
        <w:tabs>
          <w:tab w:val="left" w:pos="1418"/>
        </w:tabs>
        <w:spacing w:before="0" w:after="120"/>
        <w:rPr>
          <w:rFonts w:eastAsia="Arial" w:cs="Arial"/>
          <w:bCs/>
          <w:sz w:val="32"/>
          <w:szCs w:val="24"/>
        </w:rPr>
      </w:pPr>
      <w:bookmarkStart w:id="123" w:name="_Toc85620751"/>
      <w:bookmarkStart w:id="124" w:name="_Toc87526338"/>
      <w:r w:rsidRPr="007F50DB">
        <w:rPr>
          <w:rFonts w:eastAsia="Arial" w:cs="Arial"/>
          <w:bCs/>
          <w:sz w:val="32"/>
          <w:szCs w:val="24"/>
        </w:rPr>
        <w:t xml:space="preserve">Partnerships, </w:t>
      </w:r>
      <w:proofErr w:type="gramStart"/>
      <w:r w:rsidRPr="007F50DB">
        <w:rPr>
          <w:rFonts w:eastAsia="Arial" w:cs="Arial"/>
          <w:bCs/>
          <w:sz w:val="32"/>
          <w:szCs w:val="24"/>
        </w:rPr>
        <w:t>allies</w:t>
      </w:r>
      <w:proofErr w:type="gramEnd"/>
      <w:r w:rsidRPr="007F50DB">
        <w:rPr>
          <w:rFonts w:eastAsia="Arial" w:cs="Arial"/>
          <w:bCs/>
          <w:sz w:val="32"/>
          <w:szCs w:val="24"/>
        </w:rPr>
        <w:t xml:space="preserve"> and networks</w:t>
      </w:r>
      <w:bookmarkEnd w:id="123"/>
      <w:bookmarkEnd w:id="124"/>
    </w:p>
    <w:p w14:paraId="2EA30E99" w14:textId="05C9EAE4" w:rsidR="00105C19" w:rsidRPr="00437FB5" w:rsidRDefault="00105C19" w:rsidP="00105C19">
      <w:pPr>
        <w:rPr>
          <w:lang w:eastAsia="en-GB"/>
        </w:rPr>
      </w:pPr>
      <w:r w:rsidRPr="00437FB5">
        <w:rPr>
          <w:lang w:eastAsia="en-GB"/>
        </w:rPr>
        <w:t xml:space="preserve">Driving change alone can be difficult, often leading to people feeling overwhelmed, </w:t>
      </w:r>
      <w:proofErr w:type="gramStart"/>
      <w:r w:rsidRPr="00437FB5">
        <w:rPr>
          <w:lang w:eastAsia="en-GB"/>
        </w:rPr>
        <w:t>fatigued</w:t>
      </w:r>
      <w:proofErr w:type="gramEnd"/>
      <w:r w:rsidRPr="00437FB5">
        <w:rPr>
          <w:lang w:eastAsia="en-GB"/>
        </w:rPr>
        <w:t xml:space="preserve"> and burned out. Self-care of those advocating for and implementing primary prevention is of upmost importance.</w:t>
      </w:r>
      <w:r w:rsidRPr="00437FB5">
        <w:rPr>
          <w:rStyle w:val="FootnoteReference"/>
          <w:lang w:eastAsia="en-GB"/>
        </w:rPr>
        <w:footnoteReference w:id="28"/>
      </w:r>
      <w:r w:rsidRPr="00437FB5">
        <w:rPr>
          <w:lang w:eastAsia="en-GB"/>
        </w:rPr>
        <w:t xml:space="preserve"> To avoid </w:t>
      </w:r>
      <w:r>
        <w:rPr>
          <w:lang w:eastAsia="en-GB"/>
        </w:rPr>
        <w:t xml:space="preserve">feelings of </w:t>
      </w:r>
      <w:r w:rsidRPr="00437FB5">
        <w:rPr>
          <w:lang w:eastAsia="en-GB"/>
        </w:rPr>
        <w:t>isolation in</w:t>
      </w:r>
      <w:r>
        <w:rPr>
          <w:lang w:eastAsia="en-GB"/>
        </w:rPr>
        <w:t xml:space="preserve"> those who are</w:t>
      </w:r>
      <w:r w:rsidRPr="00437FB5">
        <w:rPr>
          <w:lang w:eastAsia="en-GB"/>
        </w:rPr>
        <w:t xml:space="preserve"> responding to resistance, it is crucial to involve a broad range of actors in leading change and to build connection with others who support gender equality and primary prevention in the institution, and those who have </w:t>
      </w:r>
      <w:r>
        <w:rPr>
          <w:lang w:eastAsia="en-GB"/>
        </w:rPr>
        <w:t>implemented</w:t>
      </w:r>
      <w:r w:rsidRPr="00437FB5">
        <w:rPr>
          <w:lang w:eastAsia="en-GB"/>
        </w:rPr>
        <w:t xml:space="preserve"> other change initiatives in the institution.</w:t>
      </w:r>
      <w:r w:rsidR="00360682">
        <w:rPr>
          <w:lang w:eastAsia="en-GB"/>
        </w:rPr>
        <w:br w:type="column"/>
      </w:r>
      <w:r w:rsidRPr="00437FB5">
        <w:rPr>
          <w:lang w:eastAsia="en-GB"/>
        </w:rPr>
        <w:t xml:space="preserve">Finding others in similar positions implementing primary prevention across different settings enables people to learn from their challenges and successes. Other approaches could be to set up an internal advisory group with a mix of internal and external leadership and actors such as those who have the potential to change certain policies (such as HR staff), or a taskforce with other inclusion initiatives to share best practice and resources where appropriate. </w:t>
      </w:r>
    </w:p>
    <w:p w14:paraId="4073C2D2" w14:textId="77777777" w:rsidR="00105C19" w:rsidRPr="00437FB5" w:rsidRDefault="00105C19" w:rsidP="00105C19">
      <w:pPr>
        <w:rPr>
          <w:lang w:eastAsia="en-GB"/>
        </w:rPr>
      </w:pPr>
    </w:p>
    <w:p w14:paraId="393D3AF2" w14:textId="77777777" w:rsidR="00360682" w:rsidRDefault="00105C19" w:rsidP="00105C19">
      <w:pPr>
        <w:rPr>
          <w:lang w:eastAsia="en-GB"/>
        </w:rPr>
        <w:sectPr w:rsidR="00360682" w:rsidSect="00105C19">
          <w:type w:val="continuous"/>
          <w:pgSz w:w="11900" w:h="16850"/>
          <w:pgMar w:top="1340" w:right="1060" w:bottom="1020" w:left="860" w:header="567" w:footer="824" w:gutter="0"/>
          <w:cols w:num="2" w:space="720"/>
          <w:docGrid w:linePitch="299"/>
        </w:sectPr>
      </w:pPr>
      <w:r w:rsidRPr="00437FB5">
        <w:rPr>
          <w:lang w:eastAsia="en-GB"/>
        </w:rPr>
        <w:t xml:space="preserve">The growing prevention workforce across Australia can provide a wealth of experiential, practical and theoretical knowledge in advocating for and implementing primary prevention, as well as the different types of resistance people and organisations have faced and how they have responded. Connecting to share learning and best practice is essential for progressing this work. </w:t>
      </w:r>
    </w:p>
    <w:p w14:paraId="3405D7D1" w14:textId="7D0B2496" w:rsidR="00105C19" w:rsidRDefault="00105C19" w:rsidP="00105C19">
      <w:pPr>
        <w:rPr>
          <w:lang w:eastAsia="en-GB"/>
        </w:rPr>
      </w:pPr>
    </w:p>
    <w:tbl>
      <w:tblPr>
        <w:tblStyle w:val="GridTable4-Accent6"/>
        <w:tblW w:w="10191" w:type="dxa"/>
        <w:tblLook w:val="04A0" w:firstRow="1" w:lastRow="0" w:firstColumn="1" w:lastColumn="0" w:noHBand="0" w:noVBand="1"/>
      </w:tblPr>
      <w:tblGrid>
        <w:gridCol w:w="10191"/>
      </w:tblGrid>
      <w:tr w:rsidR="00360682" w:rsidRPr="00437FB5" w14:paraId="53DD5C8E" w14:textId="77777777" w:rsidTr="00360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1"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shd w:val="clear" w:color="auto" w:fill="FDE9D9" w:themeFill="accent6" w:themeFillTint="33"/>
          </w:tcPr>
          <w:p w14:paraId="7CE1E6C6" w14:textId="425FE277" w:rsidR="00360682" w:rsidRPr="007F50DB" w:rsidRDefault="00360682" w:rsidP="008E06F4">
            <w:pPr>
              <w:pStyle w:val="Caption"/>
              <w:rPr>
                <w:b w:val="0"/>
                <w:bCs w:val="0"/>
                <w:color w:val="F79646" w:themeColor="accent6"/>
                <w:sz w:val="22"/>
                <w:szCs w:val="22"/>
              </w:rPr>
            </w:pPr>
            <w:bookmarkStart w:id="125" w:name="_Toc75940829"/>
            <w:r w:rsidRPr="007F50DB">
              <w:rPr>
                <w:color w:val="F79646" w:themeColor="accent6"/>
                <w:sz w:val="22"/>
                <w:szCs w:val="22"/>
              </w:rPr>
              <w:t xml:space="preserve">Highlight Box </w:t>
            </w:r>
            <w:r w:rsidRPr="007F50DB">
              <w:rPr>
                <w:color w:val="F79646" w:themeColor="accent6"/>
                <w:sz w:val="22"/>
                <w:szCs w:val="22"/>
              </w:rPr>
              <w:fldChar w:fldCharType="begin"/>
            </w:r>
            <w:r w:rsidRPr="007F50DB">
              <w:rPr>
                <w:color w:val="F79646" w:themeColor="accent6"/>
                <w:sz w:val="22"/>
                <w:szCs w:val="22"/>
              </w:rPr>
              <w:instrText xml:space="preserve"> SEQ Highlight_Box \* ARABIC </w:instrText>
            </w:r>
            <w:r w:rsidRPr="007F50DB">
              <w:rPr>
                <w:color w:val="F79646" w:themeColor="accent6"/>
                <w:sz w:val="22"/>
                <w:szCs w:val="22"/>
              </w:rPr>
              <w:fldChar w:fldCharType="separate"/>
            </w:r>
            <w:r w:rsidR="00D93EBF">
              <w:rPr>
                <w:noProof/>
                <w:color w:val="F79646" w:themeColor="accent6"/>
                <w:sz w:val="22"/>
                <w:szCs w:val="22"/>
              </w:rPr>
              <w:t>6</w:t>
            </w:r>
            <w:r w:rsidRPr="007F50DB">
              <w:rPr>
                <w:color w:val="F79646" w:themeColor="accent6"/>
                <w:sz w:val="22"/>
                <w:szCs w:val="22"/>
              </w:rPr>
              <w:fldChar w:fldCharType="end"/>
            </w:r>
            <w:r w:rsidRPr="007F50DB">
              <w:rPr>
                <w:color w:val="F79646" w:themeColor="accent6"/>
                <w:sz w:val="22"/>
                <w:szCs w:val="22"/>
              </w:rPr>
              <w:t>: Conversation Container</w:t>
            </w:r>
            <w:bookmarkEnd w:id="125"/>
          </w:p>
          <w:p w14:paraId="015F2408" w14:textId="24155665" w:rsidR="00360682" w:rsidRPr="00437FB5" w:rsidRDefault="00360682" w:rsidP="008E06F4">
            <w:pPr>
              <w:rPr>
                <w:color w:val="000000" w:themeColor="text1"/>
              </w:rPr>
            </w:pPr>
            <w:r w:rsidRPr="00437FB5">
              <w:rPr>
                <w:b w:val="0"/>
                <w:bCs w:val="0"/>
                <w:color w:val="000000" w:themeColor="text1"/>
              </w:rPr>
              <w:t>As an intersectional analysis highlight</w:t>
            </w:r>
            <w:r w:rsidRPr="00A8734E">
              <w:rPr>
                <w:b w:val="0"/>
                <w:color w:val="000000" w:themeColor="text1"/>
              </w:rPr>
              <w:t>s</w:t>
            </w:r>
            <w:r w:rsidRPr="00437FB5">
              <w:rPr>
                <w:b w:val="0"/>
                <w:bCs w:val="0"/>
                <w:color w:val="000000" w:themeColor="text1"/>
              </w:rPr>
              <w:t>, other power dynamics such as race, sexuality, and indigeneity may be more influential in some people’s and groups</w:t>
            </w:r>
            <w:r w:rsidR="00631AEB">
              <w:rPr>
                <w:b w:val="0"/>
                <w:bCs w:val="0"/>
                <w:color w:val="000000" w:themeColor="text1"/>
              </w:rPr>
              <w:t>’</w:t>
            </w:r>
            <w:r w:rsidRPr="00437FB5">
              <w:rPr>
                <w:b w:val="0"/>
                <w:bCs w:val="0"/>
                <w:color w:val="000000" w:themeColor="text1"/>
              </w:rPr>
              <w:t xml:space="preserve"> experiences of violence than others. This means that different movements and activists can have differing priorities or opinions on how to best go about prevention and what requires more concentration. This may bring about fears that long fought for gains can be </w:t>
            </w:r>
            <w:r w:rsidR="00863974">
              <w:rPr>
                <w:b w:val="0"/>
                <w:bCs w:val="0"/>
                <w:color w:val="000000" w:themeColor="text1"/>
              </w:rPr>
              <w:t>lost</w:t>
            </w:r>
            <w:r w:rsidR="00863974" w:rsidRPr="00437FB5">
              <w:rPr>
                <w:b w:val="0"/>
                <w:bCs w:val="0"/>
                <w:color w:val="000000" w:themeColor="text1"/>
              </w:rPr>
              <w:t xml:space="preserve"> </w:t>
            </w:r>
            <w:r w:rsidRPr="00437FB5">
              <w:rPr>
                <w:b w:val="0"/>
                <w:bCs w:val="0"/>
                <w:color w:val="000000" w:themeColor="text1"/>
              </w:rPr>
              <w:t xml:space="preserve">meaning resistance can manifest even within coalitions and amongst allies and partners with similar social justice goals such as </w:t>
            </w:r>
            <w:r>
              <w:rPr>
                <w:b w:val="0"/>
                <w:bCs w:val="0"/>
                <w:color w:val="000000" w:themeColor="text1"/>
              </w:rPr>
              <w:t xml:space="preserve">those working to </w:t>
            </w:r>
            <w:r w:rsidRPr="00437FB5">
              <w:rPr>
                <w:b w:val="0"/>
                <w:bCs w:val="0"/>
                <w:color w:val="000000" w:themeColor="text1"/>
              </w:rPr>
              <w:t xml:space="preserve">prevent </w:t>
            </w:r>
            <w:r w:rsidR="00863974">
              <w:rPr>
                <w:b w:val="0"/>
                <w:bCs w:val="0"/>
                <w:color w:val="000000" w:themeColor="text1"/>
              </w:rPr>
              <w:t xml:space="preserve">violence against </w:t>
            </w:r>
            <w:r w:rsidRPr="00437FB5">
              <w:rPr>
                <w:b w:val="0"/>
                <w:bCs w:val="0"/>
                <w:color w:val="000000" w:themeColor="text1"/>
              </w:rPr>
              <w:t xml:space="preserve">Aboriginal and Torres Strait Islander women, LGBTIQ+ </w:t>
            </w:r>
            <w:r w:rsidR="00803BF0">
              <w:rPr>
                <w:b w:val="0"/>
                <w:bCs w:val="0"/>
                <w:color w:val="000000" w:themeColor="text1"/>
              </w:rPr>
              <w:t xml:space="preserve">people and </w:t>
            </w:r>
            <w:r w:rsidRPr="00437FB5">
              <w:rPr>
                <w:b w:val="0"/>
                <w:bCs w:val="0"/>
                <w:color w:val="000000" w:themeColor="text1"/>
              </w:rPr>
              <w:t xml:space="preserve">communities, women from culturally </w:t>
            </w:r>
            <w:r w:rsidR="00631AEB" w:rsidRPr="00437FB5">
              <w:rPr>
                <w:b w:val="0"/>
                <w:bCs w:val="0"/>
                <w:color w:val="000000" w:themeColor="text1"/>
              </w:rPr>
              <w:t xml:space="preserve">and </w:t>
            </w:r>
            <w:r w:rsidRPr="00437FB5">
              <w:rPr>
                <w:b w:val="0"/>
                <w:bCs w:val="0"/>
                <w:color w:val="000000" w:themeColor="text1"/>
              </w:rPr>
              <w:t>linguistic</w:t>
            </w:r>
            <w:r w:rsidR="00631AEB">
              <w:rPr>
                <w:b w:val="0"/>
                <w:bCs w:val="0"/>
                <w:color w:val="000000" w:themeColor="text1"/>
              </w:rPr>
              <w:t>ally</w:t>
            </w:r>
            <w:r w:rsidRPr="00437FB5">
              <w:rPr>
                <w:b w:val="0"/>
                <w:bCs w:val="0"/>
                <w:color w:val="000000" w:themeColor="text1"/>
              </w:rPr>
              <w:t xml:space="preserve"> diverse communities, migrant and refugee women, women with disabilities, and young people and children. </w:t>
            </w:r>
          </w:p>
          <w:p w14:paraId="39F6022D" w14:textId="77777777" w:rsidR="00360682" w:rsidRPr="00437FB5" w:rsidRDefault="00360682" w:rsidP="008E06F4">
            <w:pPr>
              <w:rPr>
                <w:b w:val="0"/>
                <w:bCs w:val="0"/>
                <w:color w:val="000000" w:themeColor="text1"/>
              </w:rPr>
            </w:pPr>
          </w:p>
          <w:p w14:paraId="2DBE45D3" w14:textId="634DB488" w:rsidR="00360682" w:rsidRPr="00437FB5" w:rsidRDefault="00863974" w:rsidP="008E06F4">
            <w:pPr>
              <w:rPr>
                <w:color w:val="000000" w:themeColor="text1"/>
              </w:rPr>
            </w:pPr>
            <w:r>
              <w:rPr>
                <w:b w:val="0"/>
                <w:bCs w:val="0"/>
                <w:color w:val="000000" w:themeColor="text1"/>
              </w:rPr>
              <w:t>E</w:t>
            </w:r>
            <w:r w:rsidR="00360682" w:rsidRPr="00437FB5">
              <w:rPr>
                <w:b w:val="0"/>
                <w:bCs w:val="0"/>
                <w:color w:val="000000" w:themeColor="text1"/>
              </w:rPr>
              <w:t xml:space="preserve">ven with differing priorities and standpoints, coalition building, solidarity and collaboration is a critical component of advocacy and civil society activism, to ensure effective advocacy for people facing </w:t>
            </w:r>
            <w:r>
              <w:rPr>
                <w:b w:val="0"/>
                <w:bCs w:val="0"/>
                <w:color w:val="000000" w:themeColor="text1"/>
              </w:rPr>
              <w:t>marginalisation</w:t>
            </w:r>
            <w:r w:rsidRPr="00437FB5">
              <w:rPr>
                <w:b w:val="0"/>
                <w:bCs w:val="0"/>
                <w:color w:val="000000" w:themeColor="text1"/>
              </w:rPr>
              <w:t xml:space="preserve"> </w:t>
            </w:r>
            <w:r w:rsidR="00360682" w:rsidRPr="00437FB5">
              <w:rPr>
                <w:b w:val="0"/>
                <w:bCs w:val="0"/>
                <w:color w:val="000000" w:themeColor="text1"/>
              </w:rPr>
              <w:t>and discrimination. Inclusive partnership</w:t>
            </w:r>
            <w:r w:rsidR="00360682" w:rsidRPr="00A8734E">
              <w:rPr>
                <w:b w:val="0"/>
                <w:color w:val="000000" w:themeColor="text1"/>
              </w:rPr>
              <w:t>s</w:t>
            </w:r>
            <w:r w:rsidR="00360682" w:rsidRPr="00437FB5">
              <w:rPr>
                <w:b w:val="0"/>
                <w:bCs w:val="0"/>
                <w:color w:val="000000" w:themeColor="text1"/>
              </w:rPr>
              <w:t xml:space="preserve"> between different stakeholders are necessary </w:t>
            </w:r>
            <w:r w:rsidR="00360682">
              <w:rPr>
                <w:b w:val="0"/>
                <w:bCs w:val="0"/>
                <w:color w:val="000000" w:themeColor="text1"/>
              </w:rPr>
              <w:t>to ensure initiatives benefit from</w:t>
            </w:r>
            <w:r w:rsidR="00360682" w:rsidRPr="00437FB5">
              <w:rPr>
                <w:b w:val="0"/>
                <w:bCs w:val="0"/>
                <w:color w:val="000000" w:themeColor="text1"/>
              </w:rPr>
              <w:t xml:space="preserve"> diverse perspectives, </w:t>
            </w:r>
            <w:r w:rsidR="00360682">
              <w:rPr>
                <w:b w:val="0"/>
                <w:bCs w:val="0"/>
                <w:color w:val="000000" w:themeColor="text1"/>
              </w:rPr>
              <w:t>and</w:t>
            </w:r>
            <w:r w:rsidR="00360682" w:rsidRPr="00437FB5">
              <w:rPr>
                <w:b w:val="0"/>
                <w:bCs w:val="0"/>
                <w:color w:val="000000" w:themeColor="text1"/>
              </w:rPr>
              <w:t xml:space="preserve"> knowledges, </w:t>
            </w:r>
            <w:r w:rsidR="00360682">
              <w:rPr>
                <w:b w:val="0"/>
                <w:bCs w:val="0"/>
                <w:color w:val="000000" w:themeColor="text1"/>
              </w:rPr>
              <w:t>are developed with appropriate</w:t>
            </w:r>
            <w:r w:rsidR="00360682" w:rsidRPr="00437FB5">
              <w:rPr>
                <w:b w:val="0"/>
                <w:bCs w:val="0"/>
                <w:color w:val="000000" w:themeColor="text1"/>
              </w:rPr>
              <w:t xml:space="preserve"> representation </w:t>
            </w:r>
            <w:r w:rsidR="00360682">
              <w:rPr>
                <w:b w:val="0"/>
                <w:bCs w:val="0"/>
                <w:color w:val="000000" w:themeColor="text1"/>
              </w:rPr>
              <w:t xml:space="preserve">and that </w:t>
            </w:r>
            <w:r w:rsidR="00360682" w:rsidRPr="00437FB5">
              <w:rPr>
                <w:b w:val="0"/>
                <w:bCs w:val="0"/>
                <w:color w:val="000000" w:themeColor="text1"/>
              </w:rPr>
              <w:t>different interventions and initiatives</w:t>
            </w:r>
            <w:r w:rsidR="00360682">
              <w:rPr>
                <w:b w:val="0"/>
                <w:bCs w:val="0"/>
                <w:color w:val="000000" w:themeColor="text1"/>
              </w:rPr>
              <w:t xml:space="preserve"> are seen to have legitimacy</w:t>
            </w:r>
            <w:r w:rsidR="00360682" w:rsidRPr="00437FB5">
              <w:rPr>
                <w:b w:val="0"/>
                <w:bCs w:val="0"/>
                <w:color w:val="000000" w:themeColor="text1"/>
              </w:rPr>
              <w:t xml:space="preserve">.  </w:t>
            </w:r>
          </w:p>
          <w:p w14:paraId="77898DE9" w14:textId="77777777" w:rsidR="00360682" w:rsidRPr="00437FB5" w:rsidRDefault="00360682" w:rsidP="008E06F4">
            <w:pPr>
              <w:rPr>
                <w:color w:val="000000" w:themeColor="text1"/>
              </w:rPr>
            </w:pPr>
          </w:p>
          <w:p w14:paraId="731610D0" w14:textId="77777777" w:rsidR="00360682" w:rsidRPr="00437FB5" w:rsidRDefault="00360682" w:rsidP="008E06F4">
            <w:pPr>
              <w:rPr>
                <w:b w:val="0"/>
                <w:bCs w:val="0"/>
                <w:color w:val="000000" w:themeColor="text1"/>
              </w:rPr>
            </w:pPr>
            <w:r w:rsidRPr="00437FB5">
              <w:rPr>
                <w:b w:val="0"/>
                <w:bCs w:val="0"/>
                <w:color w:val="000000" w:themeColor="text1"/>
              </w:rPr>
              <w:t xml:space="preserve">Resistance from apparently like-minded groups and people may be overcome by practicing mutual critical reflection on why such resistance may be occurring and how each group may be feeling similar things. One example given was that of a ‘Conversation Container’. One practitioner described how in a partnership aiming to address violence against women and violence against LGBTIQ people, the two organisations came together to discuss their fears and anxieties. As this practitioner described: </w:t>
            </w:r>
          </w:p>
          <w:p w14:paraId="308FEE6E" w14:textId="77777777" w:rsidR="00360682" w:rsidRPr="00437FB5" w:rsidRDefault="00360682" w:rsidP="00360682">
            <w:pPr>
              <w:pStyle w:val="Quote"/>
              <w:ind w:left="309"/>
              <w:rPr>
                <w:sz w:val="24"/>
              </w:rPr>
            </w:pPr>
            <w:r w:rsidRPr="00437FB5">
              <w:rPr>
                <w:b w:val="0"/>
                <w:bCs w:val="0"/>
                <w:sz w:val="24"/>
              </w:rPr>
              <w:t xml:space="preserve">We had a conversation where we admitted there were fears and anxieties on both sides and that we want to set a safe, robust partnership… [ we held] a conversation container with a third party to facilitate who helped us surface those things and address them, [and develop] guidance [to put] in place and move ahead … [we would do] that in good faith knowing that if we weren't ready we weren't ready [and] we wouldn't attack the other person for being courageous enough to share whatever our resistance was. We had some fears and resistance to this as well [but] the actual process was fantastic. We did have some challenges along the way but overall, it improved things dramatically. So, creating a space where it's </w:t>
            </w:r>
            <w:proofErr w:type="gramStart"/>
            <w:r w:rsidRPr="00437FB5">
              <w:rPr>
                <w:b w:val="0"/>
                <w:bCs w:val="0"/>
                <w:sz w:val="24"/>
              </w:rPr>
              <w:t>really obvious</w:t>
            </w:r>
            <w:proofErr w:type="gramEnd"/>
            <w:r w:rsidRPr="00437FB5">
              <w:rPr>
                <w:b w:val="0"/>
                <w:bCs w:val="0"/>
                <w:sz w:val="24"/>
              </w:rPr>
              <w:t xml:space="preserve"> because what it also allows us to do is to name what we're really fearful of and if that's in the other team and they're not telling us they are having the mirror held up to</w:t>
            </w:r>
            <w:r>
              <w:rPr>
                <w:b w:val="0"/>
                <w:bCs w:val="0"/>
                <w:sz w:val="24"/>
              </w:rPr>
              <w:t xml:space="preserve"> </w:t>
            </w:r>
            <w:r w:rsidRPr="00437FB5">
              <w:rPr>
                <w:b w:val="0"/>
                <w:bCs w:val="0"/>
                <w:sz w:val="24"/>
              </w:rPr>
              <w:t>them whether they know it or not and it also [an opportunity] that we have to then think about our own resistance.</w:t>
            </w:r>
            <w:r w:rsidRPr="00B5174A">
              <w:rPr>
                <w:rStyle w:val="FootnoteReference"/>
                <w:sz w:val="24"/>
              </w:rPr>
              <w:footnoteReference w:id="29"/>
            </w:r>
          </w:p>
          <w:p w14:paraId="1CBAB6F9" w14:textId="77777777" w:rsidR="00360682" w:rsidRPr="00437FB5" w:rsidRDefault="00360682" w:rsidP="008E06F4">
            <w:pPr>
              <w:rPr>
                <w:color w:val="000000" w:themeColor="text1"/>
                <w:lang w:eastAsia="ja-JP"/>
              </w:rPr>
            </w:pPr>
            <w:r w:rsidRPr="00437FB5">
              <w:rPr>
                <w:b w:val="0"/>
                <w:bCs w:val="0"/>
                <w:color w:val="000000" w:themeColor="text1"/>
                <w:lang w:eastAsia="ja-JP"/>
              </w:rPr>
              <w:lastRenderedPageBreak/>
              <w:t xml:space="preserve">In this case, bringing in a third-party facilitator who has no investment in the partnership and establishing a safe and inclusive space for candid conversation and reflection allowed for resistance to be acknowledged and then overcome. Such processes of mutual critical reflection and sharing can be used in other settings, such as between different institutional and organisational actors.  </w:t>
            </w:r>
          </w:p>
          <w:p w14:paraId="420A2D19" w14:textId="77777777" w:rsidR="00360682" w:rsidRPr="00437FB5" w:rsidRDefault="00360682" w:rsidP="008E06F4">
            <w:pPr>
              <w:rPr>
                <w:color w:val="000000" w:themeColor="text1"/>
                <w:lang w:eastAsia="ja-JP"/>
              </w:rPr>
            </w:pPr>
          </w:p>
          <w:p w14:paraId="32CA1F99" w14:textId="0F2B00E9" w:rsidR="00360682" w:rsidRPr="00437FB5" w:rsidRDefault="00360682" w:rsidP="00360682">
            <w:pPr>
              <w:spacing w:after="120"/>
              <w:rPr>
                <w:color w:val="000000" w:themeColor="text1"/>
                <w:lang w:eastAsia="ja-JP"/>
              </w:rPr>
            </w:pPr>
            <w:r w:rsidRPr="00437FB5">
              <w:rPr>
                <w:b w:val="0"/>
                <w:bCs w:val="0"/>
                <w:color w:val="000000" w:themeColor="text1"/>
                <w:lang w:eastAsia="ja-JP"/>
              </w:rPr>
              <w:t>Some principles for setting up a conversation container:</w:t>
            </w:r>
          </w:p>
          <w:p w14:paraId="5623463C" w14:textId="77777777" w:rsidR="00360682" w:rsidRPr="00437FB5" w:rsidRDefault="00360682" w:rsidP="00B01F9C">
            <w:pPr>
              <w:pStyle w:val="ListParagraph"/>
              <w:numPr>
                <w:ilvl w:val="0"/>
                <w:numId w:val="23"/>
              </w:numPr>
              <w:spacing w:before="0" w:after="120"/>
              <w:ind w:left="714" w:hanging="357"/>
              <w:rPr>
                <w:b w:val="0"/>
                <w:bCs w:val="0"/>
                <w:color w:val="000000" w:themeColor="text1"/>
                <w:lang w:eastAsia="ja-JP"/>
              </w:rPr>
            </w:pPr>
            <w:r w:rsidRPr="00437FB5">
              <w:rPr>
                <w:b w:val="0"/>
                <w:bCs w:val="0"/>
                <w:color w:val="000000" w:themeColor="text1"/>
                <w:lang w:eastAsia="ja-JP"/>
              </w:rPr>
              <w:t>Using a neutral facilitator</w:t>
            </w:r>
          </w:p>
          <w:p w14:paraId="224A4B7C" w14:textId="77777777" w:rsidR="00360682" w:rsidRPr="00437FB5" w:rsidRDefault="00360682" w:rsidP="00B01F9C">
            <w:pPr>
              <w:pStyle w:val="ListParagraph"/>
              <w:numPr>
                <w:ilvl w:val="0"/>
                <w:numId w:val="23"/>
              </w:numPr>
              <w:spacing w:before="0" w:after="120"/>
              <w:ind w:left="714" w:hanging="357"/>
              <w:rPr>
                <w:b w:val="0"/>
                <w:bCs w:val="0"/>
                <w:color w:val="000000" w:themeColor="text1"/>
                <w:lang w:eastAsia="ja-JP"/>
              </w:rPr>
            </w:pPr>
            <w:r w:rsidRPr="00437FB5">
              <w:rPr>
                <w:b w:val="0"/>
                <w:bCs w:val="0"/>
                <w:color w:val="000000" w:themeColor="text1"/>
                <w:lang w:eastAsia="ja-JP"/>
              </w:rPr>
              <w:t>Willingness to be open and candid</w:t>
            </w:r>
          </w:p>
          <w:p w14:paraId="173E85CD" w14:textId="77777777" w:rsidR="00360682" w:rsidRPr="00437FB5" w:rsidRDefault="00360682" w:rsidP="00B01F9C">
            <w:pPr>
              <w:pStyle w:val="ListParagraph"/>
              <w:numPr>
                <w:ilvl w:val="0"/>
                <w:numId w:val="23"/>
              </w:numPr>
              <w:spacing w:before="0" w:after="120"/>
              <w:ind w:left="714" w:hanging="357"/>
              <w:rPr>
                <w:b w:val="0"/>
                <w:bCs w:val="0"/>
                <w:color w:val="000000" w:themeColor="text1"/>
                <w:lang w:eastAsia="ja-JP"/>
              </w:rPr>
            </w:pPr>
            <w:r w:rsidRPr="00437FB5">
              <w:rPr>
                <w:b w:val="0"/>
                <w:bCs w:val="0"/>
                <w:color w:val="000000" w:themeColor="text1"/>
                <w:lang w:eastAsia="ja-JP"/>
              </w:rPr>
              <w:t xml:space="preserve">Shared acknowledgement of fears and anxieties from all sides </w:t>
            </w:r>
          </w:p>
          <w:p w14:paraId="549FD453" w14:textId="77777777" w:rsidR="00360682" w:rsidRPr="00360404" w:rsidRDefault="00360682" w:rsidP="00B01F9C">
            <w:pPr>
              <w:pStyle w:val="ListParagraph"/>
              <w:numPr>
                <w:ilvl w:val="0"/>
                <w:numId w:val="23"/>
              </w:numPr>
              <w:spacing w:before="0" w:after="120"/>
              <w:ind w:left="714" w:hanging="357"/>
              <w:rPr>
                <w:b w:val="0"/>
                <w:bCs w:val="0"/>
                <w:color w:val="000000" w:themeColor="text1"/>
                <w:lang w:eastAsia="ja-JP"/>
              </w:rPr>
            </w:pPr>
            <w:r w:rsidRPr="00437FB5">
              <w:rPr>
                <w:b w:val="0"/>
                <w:bCs w:val="0"/>
                <w:color w:val="000000" w:themeColor="text1"/>
                <w:lang w:eastAsia="ja-JP"/>
              </w:rPr>
              <w:t xml:space="preserve">Establishing rules for a safe and inclusive space together, including confidentiality to avoid fear of retribution </w:t>
            </w:r>
          </w:p>
          <w:p w14:paraId="12A15F9A" w14:textId="77777777" w:rsidR="00360682" w:rsidRPr="00437FB5" w:rsidRDefault="00360682" w:rsidP="008E06F4">
            <w:pPr>
              <w:pStyle w:val="ListParagraph"/>
              <w:rPr>
                <w:b w:val="0"/>
                <w:bCs w:val="0"/>
                <w:color w:val="000000" w:themeColor="text1"/>
                <w:lang w:eastAsia="ja-JP"/>
              </w:rPr>
            </w:pPr>
          </w:p>
        </w:tc>
      </w:tr>
    </w:tbl>
    <w:p w14:paraId="2F87840E" w14:textId="77777777" w:rsidR="00360682" w:rsidRPr="00437FB5" w:rsidRDefault="00360682" w:rsidP="00105C19">
      <w:pPr>
        <w:rPr>
          <w:lang w:eastAsia="en-GB"/>
        </w:rPr>
      </w:pPr>
    </w:p>
    <w:p w14:paraId="10E81996" w14:textId="77777777" w:rsidR="00360682" w:rsidRDefault="00360682" w:rsidP="00C63C7D">
      <w:pPr>
        <w:pStyle w:val="Mainbody-text"/>
        <w:rPr>
          <w:lang w:val="en-US" w:bidi="en-US"/>
        </w:rPr>
        <w:sectPr w:rsidR="00360682" w:rsidSect="00360682">
          <w:pgSz w:w="11900" w:h="16850"/>
          <w:pgMar w:top="1340" w:right="1060" w:bottom="1020" w:left="860" w:header="567" w:footer="824" w:gutter="0"/>
          <w:cols w:space="720"/>
          <w:docGrid w:linePitch="299"/>
        </w:sectPr>
      </w:pPr>
    </w:p>
    <w:p w14:paraId="7729F7D5" w14:textId="6B791E29" w:rsidR="00360682" w:rsidRPr="007F50DB" w:rsidRDefault="00360682" w:rsidP="00360682">
      <w:pPr>
        <w:pStyle w:val="Heading3"/>
        <w:tabs>
          <w:tab w:val="left" w:pos="1418"/>
        </w:tabs>
        <w:spacing w:before="0" w:after="120"/>
        <w:rPr>
          <w:rFonts w:eastAsia="Arial" w:cs="Arial"/>
          <w:bCs/>
          <w:sz w:val="32"/>
          <w:szCs w:val="24"/>
        </w:rPr>
      </w:pPr>
      <w:bookmarkStart w:id="126" w:name="_Toc85620752"/>
      <w:bookmarkStart w:id="127" w:name="_Toc87526339"/>
      <w:r w:rsidRPr="007F50DB">
        <w:rPr>
          <w:rFonts w:eastAsia="Arial" w:cs="Arial"/>
          <w:bCs/>
          <w:sz w:val="32"/>
          <w:szCs w:val="24"/>
        </w:rPr>
        <w:t>Open debate and discussion</w:t>
      </w:r>
      <w:bookmarkEnd w:id="126"/>
      <w:bookmarkEnd w:id="127"/>
    </w:p>
    <w:p w14:paraId="75055862" w14:textId="3713B0C8" w:rsidR="00360682" w:rsidRPr="00437FB5" w:rsidRDefault="00360682" w:rsidP="00360682">
      <w:pPr>
        <w:rPr>
          <w:lang w:eastAsia="en-GB"/>
        </w:rPr>
      </w:pPr>
      <w:r w:rsidRPr="00437FB5">
        <w:rPr>
          <w:lang w:eastAsia="en-GB"/>
        </w:rPr>
        <w:t xml:space="preserve">Open discussion and debate can contribute to persuading those in the ‘moveable middle’ </w:t>
      </w:r>
      <w:r>
        <w:rPr>
          <w:lang w:eastAsia="en-GB"/>
        </w:rPr>
        <w:t xml:space="preserve">of </w:t>
      </w:r>
      <w:r w:rsidRPr="00437FB5">
        <w:rPr>
          <w:lang w:eastAsia="en-GB"/>
        </w:rPr>
        <w:t xml:space="preserve">the importance of addressing the gendered drivers of violence </w:t>
      </w:r>
      <w:r>
        <w:rPr>
          <w:lang w:eastAsia="en-GB"/>
        </w:rPr>
        <w:t>within an institution</w:t>
      </w:r>
      <w:r w:rsidRPr="00437FB5">
        <w:rPr>
          <w:lang w:eastAsia="en-GB"/>
        </w:rPr>
        <w:t xml:space="preserve"> (Vic Health 2018). It provides opportunities to disseminate information and challenge myths about </w:t>
      </w:r>
      <w:r>
        <w:rPr>
          <w:lang w:eastAsia="en-GB"/>
        </w:rPr>
        <w:t xml:space="preserve">whether or </w:t>
      </w:r>
      <w:r w:rsidRPr="00437FB5">
        <w:rPr>
          <w:lang w:eastAsia="en-GB"/>
        </w:rPr>
        <w:t xml:space="preserve">how violence disproportionately impacts women. It can also be useful to identify pockets of resistance that may come from unexpected places. </w:t>
      </w:r>
      <w:proofErr w:type="spellStart"/>
      <w:r>
        <w:rPr>
          <w:lang w:eastAsia="en-GB"/>
        </w:rPr>
        <w:t>Agócs</w:t>
      </w:r>
      <w:proofErr w:type="spellEnd"/>
      <w:r w:rsidRPr="00437FB5">
        <w:rPr>
          <w:lang w:eastAsia="en-GB"/>
        </w:rPr>
        <w:t xml:space="preserve"> (1997, p. 918) </w:t>
      </w:r>
      <w:r w:rsidR="00863974">
        <w:rPr>
          <w:lang w:eastAsia="en-GB"/>
        </w:rPr>
        <w:t xml:space="preserve">emphasises </w:t>
      </w:r>
      <w:r w:rsidRPr="00437FB5">
        <w:rPr>
          <w:lang w:eastAsia="en-GB"/>
        </w:rPr>
        <w:t xml:space="preserve">that rigorous debate can produce better understanding and solutions and can be a valuable contribution to analysis and change-related actions. However, debate and discussion must be </w:t>
      </w:r>
      <w:r>
        <w:rPr>
          <w:lang w:eastAsia="en-GB"/>
        </w:rPr>
        <w:t>entered into</w:t>
      </w:r>
      <w:r w:rsidRPr="00437FB5">
        <w:rPr>
          <w:lang w:eastAsia="en-GB"/>
        </w:rPr>
        <w:t xml:space="preserve"> in good faith from all involved, with a willingness to respectfully listen, learn and engage in mutual critical reflection.  </w:t>
      </w:r>
      <w:r>
        <w:rPr>
          <w:lang w:eastAsia="en-GB"/>
        </w:rPr>
        <w:br w:type="column"/>
      </w:r>
    </w:p>
    <w:p w14:paraId="691C9D9D" w14:textId="77777777" w:rsidR="00360682" w:rsidRPr="00437FB5" w:rsidRDefault="00360682" w:rsidP="00360682">
      <w:pPr>
        <w:pStyle w:val="IntenseQuote"/>
        <w:rPr>
          <w:sz w:val="24"/>
        </w:rPr>
      </w:pPr>
      <w:r w:rsidRPr="00437FB5">
        <w:rPr>
          <w:sz w:val="24"/>
        </w:rPr>
        <w:t xml:space="preserve">We've had people who are very brave come forward and say, “I have some concerns and fears and lack some understanding but I'm aware that I'm probably wrong I'd love for you to educate me - would you be comfortable having a conversation with me to help me learn.” Some of these people are in quite high positions of influence. Those people [may] have internal resistance but are then managing and preventing it from becoming an external problem and their concerns are </w:t>
      </w:r>
      <w:proofErr w:type="gramStart"/>
      <w:r w:rsidRPr="00437FB5">
        <w:rPr>
          <w:sz w:val="24"/>
        </w:rPr>
        <w:t>absolutely worth</w:t>
      </w:r>
      <w:proofErr w:type="gramEnd"/>
      <w:r w:rsidRPr="00437FB5">
        <w:rPr>
          <w:sz w:val="24"/>
        </w:rPr>
        <w:t xml:space="preserve"> talking about and [I am] more than happy to engage with them. The difficulty being is… when we are expected to educate people who engage in bad faith. When we are in certain conversations [we need to] </w:t>
      </w:r>
      <w:proofErr w:type="gramStart"/>
      <w:r w:rsidRPr="00437FB5">
        <w:rPr>
          <w:sz w:val="24"/>
        </w:rPr>
        <w:t>actually name</w:t>
      </w:r>
      <w:proofErr w:type="gramEnd"/>
      <w:r w:rsidRPr="00437FB5">
        <w:rPr>
          <w:sz w:val="24"/>
        </w:rPr>
        <w:t xml:space="preserve"> this conversation “you're not showing enough good faith or enough care or concern for our position in this conversation thus we will not be having it”</w:t>
      </w:r>
      <w:r>
        <w:rPr>
          <w:rStyle w:val="FootnoteReference"/>
          <w:sz w:val="24"/>
        </w:rPr>
        <w:footnoteReference w:id="30"/>
      </w:r>
    </w:p>
    <w:p w14:paraId="09D76D2D" w14:textId="46ED3D38" w:rsidR="00360682" w:rsidRDefault="00360682">
      <w:pPr>
        <w:rPr>
          <w:lang w:eastAsia="en-GB"/>
        </w:rPr>
      </w:pPr>
      <w:r>
        <w:rPr>
          <w:lang w:eastAsia="en-GB"/>
        </w:rPr>
        <w:br w:type="page"/>
      </w:r>
    </w:p>
    <w:p w14:paraId="32FC4D09" w14:textId="335C1129" w:rsidR="00360682" w:rsidRPr="005A7F77" w:rsidRDefault="00360682" w:rsidP="005F71E6">
      <w:pPr>
        <w:pStyle w:val="Heading2"/>
      </w:pPr>
      <w:bookmarkStart w:id="128" w:name="_Toc85620753"/>
      <w:bookmarkStart w:id="129" w:name="_Toc87526340"/>
      <w:r w:rsidRPr="005F71E6">
        <w:lastRenderedPageBreak/>
        <w:t>Strategies to respond to resistance and backlash</w:t>
      </w:r>
      <w:bookmarkEnd w:id="128"/>
      <w:bookmarkEnd w:id="129"/>
    </w:p>
    <w:p w14:paraId="6BE791FE" w14:textId="77777777" w:rsidR="00360682" w:rsidRPr="00437FB5" w:rsidRDefault="00360682" w:rsidP="00360682">
      <w:r w:rsidRPr="00437FB5">
        <w:t>To counter resistance and backlash to primary prevention of violence against women, a suite of approaches is required, encompassing the entire socioecological model. Responding and engaging with resistance requires patience, kindness, firm boundaries and, fundamentally, accountability to addressing the gendered drivers of violence against women (Gallegos et al., 2020, p. 168).</w:t>
      </w:r>
    </w:p>
    <w:p w14:paraId="2DD8ACB1" w14:textId="77777777" w:rsidR="00360682" w:rsidRPr="00437FB5" w:rsidRDefault="00360682" w:rsidP="00360682"/>
    <w:p w14:paraId="6C65E009" w14:textId="77777777" w:rsidR="00360682" w:rsidRPr="00437FB5" w:rsidRDefault="00360682" w:rsidP="00360682">
      <w:pPr>
        <w:spacing w:after="120"/>
      </w:pPr>
      <w:r w:rsidRPr="00437FB5">
        <w:t xml:space="preserve">Vic Health (2018) outlines four ways to prepare for managing and responding to resistance: </w:t>
      </w:r>
    </w:p>
    <w:p w14:paraId="1B509C07" w14:textId="61FF1F7F" w:rsidR="00360682" w:rsidRPr="00437FB5" w:rsidRDefault="00360682" w:rsidP="00B01F9C">
      <w:pPr>
        <w:pStyle w:val="ListParagraph"/>
        <w:widowControl/>
        <w:numPr>
          <w:ilvl w:val="0"/>
          <w:numId w:val="24"/>
        </w:numPr>
        <w:autoSpaceDE/>
        <w:autoSpaceDN/>
        <w:spacing w:before="0" w:after="120"/>
      </w:pPr>
      <w:r w:rsidRPr="00437FB5">
        <w:t xml:space="preserve">Framing strategies in terms of how you articulate, communicate, or ‘frame’ the importance of the </w:t>
      </w:r>
      <w:proofErr w:type="gramStart"/>
      <w:r w:rsidRPr="00437FB5">
        <w:t>initiative;</w:t>
      </w:r>
      <w:proofErr w:type="gramEnd"/>
      <w:r w:rsidRPr="00437FB5">
        <w:t xml:space="preserve"> </w:t>
      </w:r>
    </w:p>
    <w:p w14:paraId="7E7E7B9A" w14:textId="057D1226" w:rsidR="00360682" w:rsidRPr="00437FB5" w:rsidRDefault="00360682" w:rsidP="00B01F9C">
      <w:pPr>
        <w:pStyle w:val="ListParagraph"/>
        <w:widowControl/>
        <w:numPr>
          <w:ilvl w:val="0"/>
          <w:numId w:val="24"/>
        </w:numPr>
        <w:autoSpaceDE/>
        <w:autoSpaceDN/>
        <w:spacing w:before="0" w:after="120"/>
      </w:pPr>
      <w:r w:rsidRPr="00437FB5">
        <w:t xml:space="preserve">Organisational strategies to involve leaders, individuals and groups, and address policies, practices and organisational </w:t>
      </w:r>
      <w:proofErr w:type="gramStart"/>
      <w:r w:rsidRPr="00437FB5">
        <w:t>structures;</w:t>
      </w:r>
      <w:proofErr w:type="gramEnd"/>
      <w:r w:rsidRPr="00437FB5">
        <w:t xml:space="preserve"> </w:t>
      </w:r>
    </w:p>
    <w:p w14:paraId="5558B296" w14:textId="547CB632" w:rsidR="00360682" w:rsidRPr="00437FB5" w:rsidRDefault="00360682" w:rsidP="00B01F9C">
      <w:pPr>
        <w:pStyle w:val="ListParagraph"/>
        <w:widowControl/>
        <w:numPr>
          <w:ilvl w:val="0"/>
          <w:numId w:val="24"/>
        </w:numPr>
        <w:autoSpaceDE/>
        <w:autoSpaceDN/>
        <w:spacing w:before="0" w:after="120"/>
      </w:pPr>
      <w:r w:rsidRPr="00437FB5">
        <w:t xml:space="preserve">Teaching and learning strategies including teaching processes, the learning environment, </w:t>
      </w:r>
      <w:proofErr w:type="gramStart"/>
      <w:r w:rsidRPr="00437FB5">
        <w:t>content</w:t>
      </w:r>
      <w:proofErr w:type="gramEnd"/>
      <w:r w:rsidRPr="00437FB5">
        <w:t xml:space="preserve"> and expertise of educators; and </w:t>
      </w:r>
    </w:p>
    <w:p w14:paraId="46C81735" w14:textId="1683D825" w:rsidR="00360682" w:rsidRPr="00437FB5" w:rsidRDefault="00B01F9C" w:rsidP="00B01F9C">
      <w:pPr>
        <w:pStyle w:val="ListParagraph"/>
        <w:widowControl/>
        <w:numPr>
          <w:ilvl w:val="0"/>
          <w:numId w:val="24"/>
        </w:numPr>
        <w:autoSpaceDE/>
        <w:autoSpaceDN/>
        <w:spacing w:before="0" w:after="120"/>
      </w:pPr>
      <w:r>
        <w:br w:type="column"/>
      </w:r>
      <w:r w:rsidR="00360682" w:rsidRPr="00437FB5">
        <w:t xml:space="preserve">Individual strategies to identify allies, self-care for advocates and practitioners, and focusing efforts on those you can influence. </w:t>
      </w:r>
    </w:p>
    <w:p w14:paraId="052F299E" w14:textId="77777777" w:rsidR="00360682" w:rsidRPr="00437FB5" w:rsidRDefault="00360682" w:rsidP="00360682"/>
    <w:p w14:paraId="740C2006" w14:textId="77777777" w:rsidR="00360682" w:rsidRDefault="00360682" w:rsidP="00360682">
      <w:pPr>
        <w:rPr>
          <w:color w:val="000000" w:themeColor="text1"/>
        </w:rPr>
      </w:pPr>
      <w:r w:rsidRPr="00437FB5">
        <w:t xml:space="preserve">For example, </w:t>
      </w:r>
      <w:r w:rsidRPr="00437FB5">
        <w:rPr>
          <w:color w:val="000000" w:themeColor="text1"/>
        </w:rPr>
        <w:t>Common Cause and Vic Health have developed several values-based framing guides on gender equality and masculinities. The guides outline responses to resistance that are aimed at engaging people’s deeply held values to motivate individuals concern and action on gender inequalities. The gender equality messaging guide classifies audiences as supporters of gender equality, opponents to gender equality, and the ‘</w:t>
      </w:r>
      <w:proofErr w:type="spellStart"/>
      <w:r w:rsidRPr="00437FB5">
        <w:rPr>
          <w:color w:val="000000" w:themeColor="text1"/>
        </w:rPr>
        <w:t>persuadables</w:t>
      </w:r>
      <w:proofErr w:type="spellEnd"/>
      <w:r w:rsidRPr="00437FB5">
        <w:rPr>
          <w:color w:val="000000" w:themeColor="text1"/>
        </w:rPr>
        <w:t xml:space="preserve">’ in the middle, who have less fixed views on gender equality. </w:t>
      </w:r>
    </w:p>
    <w:p w14:paraId="6DD92D25" w14:textId="77777777" w:rsidR="00360682" w:rsidRDefault="00360682" w:rsidP="00360682">
      <w:pPr>
        <w:rPr>
          <w:color w:val="000000" w:themeColor="text1"/>
        </w:rPr>
      </w:pPr>
    </w:p>
    <w:p w14:paraId="7D5C524F" w14:textId="6A4248D7" w:rsidR="00360682" w:rsidRDefault="00B5174A" w:rsidP="00360682">
      <w:pPr>
        <w:rPr>
          <w:color w:val="000000" w:themeColor="text1"/>
        </w:rPr>
      </w:pPr>
      <w:r>
        <w:rPr>
          <w:color w:val="000000" w:themeColor="text1"/>
        </w:rPr>
        <w:t>‘</w:t>
      </w:r>
      <w:proofErr w:type="spellStart"/>
      <w:r w:rsidR="00360682" w:rsidRPr="00437FB5">
        <w:rPr>
          <w:color w:val="000000" w:themeColor="text1"/>
        </w:rPr>
        <w:t>Persuadables</w:t>
      </w:r>
      <w:proofErr w:type="spellEnd"/>
      <w:r>
        <w:rPr>
          <w:color w:val="000000" w:themeColor="text1"/>
        </w:rPr>
        <w:t>’</w:t>
      </w:r>
      <w:r w:rsidR="00360682" w:rsidRPr="00437FB5">
        <w:rPr>
          <w:color w:val="000000" w:themeColor="text1"/>
        </w:rPr>
        <w:t xml:space="preserve"> are also referred to as the ‘moveable middle’ in the sense that with the right framing, we can move and persuade people to become supporters of gender equality. On the flip side of this, the moveable middle can also shift to being opponents of gender equality. </w:t>
      </w:r>
      <w:r w:rsidR="00360682">
        <w:rPr>
          <w:color w:val="000000" w:themeColor="text1"/>
        </w:rPr>
        <w:t xml:space="preserve">However, the moveable middle are the individuals and communities that can be persuaded to support primary prevention of violence against women goals. </w:t>
      </w:r>
    </w:p>
    <w:p w14:paraId="591F0CD3" w14:textId="173BDC36" w:rsidR="00360682" w:rsidRDefault="00360682" w:rsidP="00360682">
      <w:pPr>
        <w:rPr>
          <w:color w:val="000000" w:themeColor="text1"/>
        </w:rPr>
      </w:pPr>
    </w:p>
    <w:p w14:paraId="526E6221" w14:textId="77777777" w:rsidR="00B01F9C" w:rsidRDefault="00B01F9C" w:rsidP="00360682">
      <w:pPr>
        <w:rPr>
          <w:color w:val="000000" w:themeColor="text1"/>
        </w:rPr>
        <w:sectPr w:rsidR="00B01F9C" w:rsidSect="00360682">
          <w:type w:val="continuous"/>
          <w:pgSz w:w="11900" w:h="16850"/>
          <w:pgMar w:top="1340" w:right="1060" w:bottom="1020" w:left="860" w:header="567" w:footer="824" w:gutter="0"/>
          <w:cols w:num="2" w:space="720"/>
          <w:docGrid w:linePitch="299"/>
        </w:sectPr>
      </w:pPr>
    </w:p>
    <w:p w14:paraId="6E7BCA1F" w14:textId="5B07B9C3" w:rsidR="00360682" w:rsidRDefault="00360682" w:rsidP="00360682">
      <w:pPr>
        <w:rPr>
          <w:color w:val="000000" w:themeColor="text1"/>
        </w:rPr>
      </w:pPr>
    </w:p>
    <w:p w14:paraId="6FB7623A" w14:textId="77777777" w:rsidR="00B01F9C" w:rsidRDefault="00B01F9C" w:rsidP="00B01F9C">
      <w:pPr>
        <w:rPr>
          <w:color w:val="000000" w:themeColor="text1"/>
        </w:rPr>
      </w:pPr>
      <w:r>
        <w:rPr>
          <w:noProof/>
        </w:rPr>
        <w:drawing>
          <wp:inline distT="0" distB="0" distL="0" distR="0" wp14:anchorId="62F929B9" wp14:editId="192D7B10">
            <wp:extent cx="6400800" cy="1708346"/>
            <wp:effectExtent l="0" t="0" r="0" b="6350"/>
            <wp:docPr id="19" name="Picture 1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7">
                      <a:extLst>
                        <a:ext uri="{28A0092B-C50C-407E-A947-70E740481C1C}">
                          <a14:useLocalDpi xmlns:a14="http://schemas.microsoft.com/office/drawing/2010/main" val="0"/>
                        </a:ext>
                      </a:extLst>
                    </a:blip>
                    <a:stretch>
                      <a:fillRect/>
                    </a:stretch>
                  </pic:blipFill>
                  <pic:spPr>
                    <a:xfrm>
                      <a:off x="0" y="0"/>
                      <a:ext cx="6448071" cy="1720962"/>
                    </a:xfrm>
                    <a:prstGeom prst="rect">
                      <a:avLst/>
                    </a:prstGeom>
                  </pic:spPr>
                </pic:pic>
              </a:graphicData>
            </a:graphic>
          </wp:inline>
        </w:drawing>
      </w:r>
    </w:p>
    <w:p w14:paraId="69404DE5" w14:textId="38F470E1" w:rsidR="00B01F9C" w:rsidRPr="00B01F9C" w:rsidRDefault="00B01F9C" w:rsidP="00B01F9C">
      <w:pPr>
        <w:pStyle w:val="Caption"/>
        <w:rPr>
          <w:color w:val="F79646" w:themeColor="accent6"/>
          <w:sz w:val="22"/>
          <w:szCs w:val="22"/>
        </w:rPr>
      </w:pPr>
      <w:bookmarkStart w:id="130" w:name="_Toc94771650"/>
      <w:r w:rsidRPr="00B01F9C">
        <w:rPr>
          <w:color w:val="F79646" w:themeColor="accent6"/>
          <w:sz w:val="22"/>
          <w:szCs w:val="22"/>
        </w:rPr>
        <w:t xml:space="preserve">Figure </w:t>
      </w:r>
      <w:r w:rsidRPr="00B01F9C">
        <w:rPr>
          <w:color w:val="F79646" w:themeColor="accent6"/>
          <w:sz w:val="22"/>
          <w:szCs w:val="22"/>
          <w:shd w:val="clear" w:color="auto" w:fill="E6E6E6"/>
        </w:rPr>
        <w:fldChar w:fldCharType="begin"/>
      </w:r>
      <w:r w:rsidRPr="00B01F9C">
        <w:rPr>
          <w:color w:val="F79646" w:themeColor="accent6"/>
          <w:sz w:val="22"/>
          <w:szCs w:val="22"/>
        </w:rPr>
        <w:instrText xml:space="preserve"> SEQ Figure \* ARABIC </w:instrText>
      </w:r>
      <w:r w:rsidRPr="00B01F9C">
        <w:rPr>
          <w:color w:val="F79646" w:themeColor="accent6"/>
          <w:sz w:val="22"/>
          <w:szCs w:val="22"/>
          <w:shd w:val="clear" w:color="auto" w:fill="E6E6E6"/>
        </w:rPr>
        <w:fldChar w:fldCharType="separate"/>
      </w:r>
      <w:r w:rsidR="00D93EBF">
        <w:rPr>
          <w:noProof/>
          <w:color w:val="F79646" w:themeColor="accent6"/>
          <w:sz w:val="22"/>
          <w:szCs w:val="22"/>
        </w:rPr>
        <w:t>7</w:t>
      </w:r>
      <w:r w:rsidRPr="00B01F9C">
        <w:rPr>
          <w:color w:val="F79646" w:themeColor="accent6"/>
          <w:sz w:val="22"/>
          <w:szCs w:val="22"/>
          <w:shd w:val="clear" w:color="auto" w:fill="E6E6E6"/>
        </w:rPr>
        <w:fldChar w:fldCharType="end"/>
      </w:r>
      <w:r w:rsidRPr="00B01F9C">
        <w:rPr>
          <w:color w:val="F79646" w:themeColor="accent6"/>
          <w:sz w:val="22"/>
          <w:szCs w:val="22"/>
        </w:rPr>
        <w:t>: The spectrum of resistance</w:t>
      </w:r>
      <w:r w:rsidRPr="00B01F9C">
        <w:rPr>
          <w:noProof/>
          <w:color w:val="F79646" w:themeColor="accent6"/>
          <w:sz w:val="22"/>
          <w:szCs w:val="22"/>
        </w:rPr>
        <w:t xml:space="preserve"> (Vic Health 2018, p.6)</w:t>
      </w:r>
      <w:bookmarkEnd w:id="130"/>
    </w:p>
    <w:p w14:paraId="67E916F2" w14:textId="74222292" w:rsidR="00360682" w:rsidRDefault="00360682" w:rsidP="00360682">
      <w:pPr>
        <w:rPr>
          <w:color w:val="000000" w:themeColor="text1"/>
        </w:rPr>
      </w:pPr>
    </w:p>
    <w:p w14:paraId="49B6B73A" w14:textId="77777777" w:rsidR="00B01F9C" w:rsidRDefault="00B01F9C" w:rsidP="00360682">
      <w:pPr>
        <w:rPr>
          <w:color w:val="000000" w:themeColor="text1"/>
        </w:rPr>
        <w:sectPr w:rsidR="00B01F9C" w:rsidSect="00B01F9C">
          <w:type w:val="continuous"/>
          <w:pgSz w:w="11900" w:h="16850"/>
          <w:pgMar w:top="1340" w:right="1060" w:bottom="1020" w:left="860" w:header="567" w:footer="824" w:gutter="0"/>
          <w:cols w:space="720"/>
          <w:docGrid w:linePitch="299"/>
        </w:sectPr>
      </w:pPr>
    </w:p>
    <w:p w14:paraId="1197356F" w14:textId="77777777" w:rsidR="009607CC" w:rsidRDefault="00B01F9C" w:rsidP="00B01F9C">
      <w:pPr>
        <w:rPr>
          <w:color w:val="000000" w:themeColor="text1"/>
        </w:rPr>
        <w:sectPr w:rsidR="009607CC" w:rsidSect="00B01F9C">
          <w:pgSz w:w="11900" w:h="16850"/>
          <w:pgMar w:top="1340" w:right="1060" w:bottom="1020" w:left="860" w:header="567" w:footer="824" w:gutter="0"/>
          <w:cols w:num="2" w:space="720"/>
          <w:docGrid w:linePitch="299"/>
        </w:sectPr>
      </w:pPr>
      <w:r w:rsidRPr="00437FB5">
        <w:rPr>
          <w:color w:val="000000" w:themeColor="text1"/>
        </w:rPr>
        <w:lastRenderedPageBreak/>
        <w:t>Positive messaging that engages people’s values can be a powerful tool to convince people on the necessity of gender equality to prevent violence against women. The guide outlines a useful decision matrix that assists in knowing when to respond to resistance, making clear that sometimes, engaging with opponents on gender equality can take away valuable time and resources and push the conversations into “unhelpful value frames like individual choice, tradition, and biological differences between men and women” (Vic Health, 2020, p. 10).</w:t>
      </w:r>
      <w:r w:rsidR="009607CC">
        <w:rPr>
          <w:color w:val="000000" w:themeColor="text1"/>
        </w:rPr>
        <w:br w:type="column"/>
      </w:r>
      <w:r w:rsidRPr="00437FB5">
        <w:rPr>
          <w:color w:val="000000" w:themeColor="text1"/>
        </w:rPr>
        <w:t xml:space="preserve">Understanding opponents’ language and value frames can assist in re-shaping the message and counter resistant messaging. Highlighting eight gender equality issues and the common resisting responses, the guide outlines how to reframe the message to tap into people’s values such as fairness, </w:t>
      </w:r>
      <w:proofErr w:type="gramStart"/>
      <w:r w:rsidRPr="00437FB5">
        <w:rPr>
          <w:color w:val="000000" w:themeColor="text1"/>
        </w:rPr>
        <w:t>honesty</w:t>
      </w:r>
      <w:proofErr w:type="gramEnd"/>
      <w:r w:rsidRPr="00437FB5">
        <w:rPr>
          <w:color w:val="000000" w:themeColor="text1"/>
        </w:rPr>
        <w:t xml:space="preserve"> and respect. The guide follows a story structure of ‘vision, barrier, action’ to build positive frames to demonstrate how to approach resistance to different barriers to gender equality like targets and quotas for women in leadership.</w:t>
      </w:r>
    </w:p>
    <w:p w14:paraId="72EA2EFF" w14:textId="1B564DE7" w:rsidR="00B01F9C" w:rsidRDefault="00B01F9C" w:rsidP="00B01F9C">
      <w:pPr>
        <w:rPr>
          <w:color w:val="000000" w:themeColor="text1"/>
        </w:rPr>
      </w:pPr>
    </w:p>
    <w:tbl>
      <w:tblPr>
        <w:tblStyle w:val="GridTable4-Accent6"/>
        <w:tblW w:w="0" w:type="auto"/>
        <w:tblLook w:val="04A0" w:firstRow="1" w:lastRow="0" w:firstColumn="1" w:lastColumn="0" w:noHBand="0" w:noVBand="1"/>
      </w:tblPr>
      <w:tblGrid>
        <w:gridCol w:w="9908"/>
      </w:tblGrid>
      <w:tr w:rsidR="009607CC" w:rsidRPr="00437FB5" w14:paraId="62CE75D2" w14:textId="77777777" w:rsidTr="009607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8"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shd w:val="clear" w:color="auto" w:fill="FDE9D9" w:themeFill="accent6" w:themeFillTint="33"/>
          </w:tcPr>
          <w:p w14:paraId="257A3AB1" w14:textId="70F81CC5" w:rsidR="009607CC" w:rsidRPr="007F50DB" w:rsidRDefault="009607CC" w:rsidP="008E06F4">
            <w:pPr>
              <w:pStyle w:val="Caption"/>
              <w:rPr>
                <w:b w:val="0"/>
                <w:bCs w:val="0"/>
                <w:color w:val="F79646" w:themeColor="accent6"/>
                <w:sz w:val="22"/>
                <w:szCs w:val="22"/>
              </w:rPr>
            </w:pPr>
            <w:bookmarkStart w:id="131" w:name="_Toc75940830"/>
            <w:r w:rsidRPr="007F50DB">
              <w:rPr>
                <w:color w:val="F79646" w:themeColor="accent6"/>
                <w:sz w:val="22"/>
                <w:szCs w:val="22"/>
              </w:rPr>
              <w:t xml:space="preserve">Highlight Box </w:t>
            </w:r>
            <w:r w:rsidRPr="007F50DB">
              <w:rPr>
                <w:color w:val="F79646" w:themeColor="accent6"/>
                <w:sz w:val="22"/>
                <w:szCs w:val="22"/>
              </w:rPr>
              <w:fldChar w:fldCharType="begin"/>
            </w:r>
            <w:r w:rsidRPr="007F50DB">
              <w:rPr>
                <w:color w:val="F79646" w:themeColor="accent6"/>
                <w:sz w:val="22"/>
                <w:szCs w:val="22"/>
              </w:rPr>
              <w:instrText xml:space="preserve"> SEQ Highlight_Box \* ARABIC </w:instrText>
            </w:r>
            <w:r w:rsidRPr="007F50DB">
              <w:rPr>
                <w:color w:val="F79646" w:themeColor="accent6"/>
                <w:sz w:val="22"/>
                <w:szCs w:val="22"/>
              </w:rPr>
              <w:fldChar w:fldCharType="separate"/>
            </w:r>
            <w:r w:rsidR="00D93EBF">
              <w:rPr>
                <w:noProof/>
                <w:color w:val="F79646" w:themeColor="accent6"/>
                <w:sz w:val="22"/>
                <w:szCs w:val="22"/>
              </w:rPr>
              <w:t>7</w:t>
            </w:r>
            <w:r w:rsidRPr="007F50DB">
              <w:rPr>
                <w:color w:val="F79646" w:themeColor="accent6"/>
                <w:sz w:val="22"/>
                <w:szCs w:val="22"/>
              </w:rPr>
              <w:fldChar w:fldCharType="end"/>
            </w:r>
            <w:r w:rsidRPr="007F50DB">
              <w:rPr>
                <w:color w:val="F79646" w:themeColor="accent6"/>
                <w:sz w:val="22"/>
                <w:szCs w:val="22"/>
              </w:rPr>
              <w:t>: Finding the right approach</w:t>
            </w:r>
            <w:bookmarkEnd w:id="131"/>
          </w:p>
          <w:p w14:paraId="5D2A7150" w14:textId="77777777" w:rsidR="009607CC" w:rsidRPr="00437FB5" w:rsidRDefault="009607CC" w:rsidP="008E06F4">
            <w:pPr>
              <w:rPr>
                <w:color w:val="000000" w:themeColor="text1"/>
              </w:rPr>
            </w:pPr>
            <w:r w:rsidRPr="00437FB5">
              <w:rPr>
                <w:b w:val="0"/>
                <w:bCs w:val="0"/>
                <w:color w:val="000000" w:themeColor="text1"/>
              </w:rPr>
              <w:t>To overcome resistance and backlash to primary prevention, multiple approaches are needed to convince a diverse group of people about the necessity of addressing the gendered drivers of violence. Not every person will be convinced, “there will always be a group that is never coming to the party, you just want to make them the less dominant group</w:t>
            </w:r>
            <w:r w:rsidRPr="00863974">
              <w:rPr>
                <w:color w:val="000000" w:themeColor="text1"/>
              </w:rPr>
              <w:t>”.</w:t>
            </w:r>
            <w:r w:rsidRPr="00863974">
              <w:rPr>
                <w:rStyle w:val="FootnoteReference"/>
                <w:color w:val="000000" w:themeColor="text1"/>
              </w:rPr>
              <w:footnoteReference w:id="31"/>
            </w:r>
            <w:r w:rsidRPr="000F1F81">
              <w:rPr>
                <w:b w:val="0"/>
                <w:bCs w:val="0"/>
                <w:color w:val="000000" w:themeColor="text1"/>
              </w:rPr>
              <w:t xml:space="preserve"> </w:t>
            </w:r>
          </w:p>
          <w:p w14:paraId="404A022C" w14:textId="77777777" w:rsidR="009607CC" w:rsidRPr="00437FB5" w:rsidRDefault="009607CC" w:rsidP="008E06F4">
            <w:pPr>
              <w:rPr>
                <w:color w:val="000000" w:themeColor="text1"/>
              </w:rPr>
            </w:pPr>
          </w:p>
          <w:p w14:paraId="572CE9B4" w14:textId="77777777" w:rsidR="009607CC" w:rsidRDefault="009607CC" w:rsidP="008E06F4">
            <w:pPr>
              <w:rPr>
                <w:color w:val="000000" w:themeColor="text1"/>
              </w:rPr>
            </w:pPr>
            <w:r w:rsidRPr="00437FB5">
              <w:rPr>
                <w:b w:val="0"/>
                <w:bCs w:val="0"/>
                <w:color w:val="000000" w:themeColor="text1"/>
              </w:rPr>
              <w:t xml:space="preserve">A practitioner working on the prevention of gendered violence in workplaces and unions described the different ways they approached integrating prevention policies and frameworks into those settings. They began with messaging as ‘the right thing to do’, which initially received substantial and active forms of resistance. </w:t>
            </w:r>
          </w:p>
          <w:p w14:paraId="569F7925" w14:textId="77777777" w:rsidR="009607CC" w:rsidRDefault="009607CC" w:rsidP="008E06F4">
            <w:pPr>
              <w:rPr>
                <w:color w:val="000000" w:themeColor="text1"/>
              </w:rPr>
            </w:pPr>
          </w:p>
          <w:p w14:paraId="72423257" w14:textId="5422D9D4" w:rsidR="009607CC" w:rsidRPr="00437FB5" w:rsidRDefault="009607CC" w:rsidP="008E06F4">
            <w:pPr>
              <w:rPr>
                <w:color w:val="000000" w:themeColor="text1"/>
              </w:rPr>
            </w:pPr>
            <w:r w:rsidRPr="00437FB5">
              <w:rPr>
                <w:b w:val="0"/>
                <w:bCs w:val="0"/>
                <w:color w:val="000000" w:themeColor="text1"/>
              </w:rPr>
              <w:t xml:space="preserve">Consequently, focus was shifted to an industrial rights-based justification to address gendered violence. While this approach </w:t>
            </w:r>
            <w:r w:rsidR="00D83867">
              <w:rPr>
                <w:b w:val="0"/>
                <w:bCs w:val="0"/>
                <w:color w:val="000000" w:themeColor="text1"/>
              </w:rPr>
              <w:t>was more effective,</w:t>
            </w:r>
            <w:r w:rsidRPr="00437FB5">
              <w:rPr>
                <w:b w:val="0"/>
                <w:bCs w:val="0"/>
                <w:color w:val="000000" w:themeColor="text1"/>
              </w:rPr>
              <w:t xml:space="preserve"> the strategy that was most effective and persuaded the most people was the incorporation of prevention of gendered violence into </w:t>
            </w:r>
            <w:r w:rsidR="00863974">
              <w:rPr>
                <w:b w:val="0"/>
                <w:bCs w:val="0"/>
                <w:color w:val="000000" w:themeColor="text1"/>
              </w:rPr>
              <w:t xml:space="preserve">Work Health and </w:t>
            </w:r>
            <w:r w:rsidRPr="00437FB5">
              <w:rPr>
                <w:b w:val="0"/>
                <w:bCs w:val="0"/>
                <w:color w:val="000000" w:themeColor="text1"/>
              </w:rPr>
              <w:t xml:space="preserve">Safety frameworks. If a worker is injured, the employer has the responsibility to maintain safe working environments and can’t </w:t>
            </w:r>
            <w:r w:rsidR="00863974">
              <w:rPr>
                <w:b w:val="0"/>
                <w:bCs w:val="0"/>
                <w:color w:val="000000" w:themeColor="text1"/>
              </w:rPr>
              <w:t xml:space="preserve">dismiss it </w:t>
            </w:r>
            <w:r w:rsidRPr="00437FB5">
              <w:rPr>
                <w:b w:val="0"/>
                <w:bCs w:val="0"/>
                <w:color w:val="000000" w:themeColor="text1"/>
              </w:rPr>
              <w:t xml:space="preserve">as a policy issue </w:t>
            </w:r>
            <w:r w:rsidR="00863974">
              <w:rPr>
                <w:b w:val="0"/>
                <w:bCs w:val="0"/>
                <w:color w:val="000000" w:themeColor="text1"/>
              </w:rPr>
              <w:t>given obligations under Work Health and Safety laws and frameworks</w:t>
            </w:r>
            <w:r w:rsidRPr="00437FB5">
              <w:rPr>
                <w:b w:val="0"/>
                <w:bCs w:val="0"/>
                <w:color w:val="000000" w:themeColor="text1"/>
              </w:rPr>
              <w:t xml:space="preserve">. </w:t>
            </w:r>
          </w:p>
          <w:p w14:paraId="70922412" w14:textId="77777777" w:rsidR="009607CC" w:rsidRPr="00437FB5" w:rsidRDefault="009607CC" w:rsidP="008E06F4">
            <w:pPr>
              <w:rPr>
                <w:color w:val="000000" w:themeColor="text1"/>
              </w:rPr>
            </w:pPr>
          </w:p>
          <w:p w14:paraId="31245B47" w14:textId="77777777" w:rsidR="009607CC" w:rsidRDefault="009607CC" w:rsidP="008E06F4">
            <w:pPr>
              <w:rPr>
                <w:color w:val="000000" w:themeColor="text1"/>
              </w:rPr>
            </w:pPr>
            <w:r w:rsidRPr="00437FB5">
              <w:rPr>
                <w:b w:val="0"/>
                <w:bCs w:val="0"/>
                <w:color w:val="000000" w:themeColor="text1"/>
              </w:rPr>
              <w:t>Framing gendered violence as a workplace safety issue allows unions to advocate for incidences of violence to be taken as seriously as other injuries and for workplaces to implement prevention initiatives such as Workplace Equality and Respect standards. (See Victorian Trades Hall Council 2017).</w:t>
            </w:r>
            <w:r w:rsidRPr="00437FB5">
              <w:rPr>
                <w:rStyle w:val="FootnoteReference"/>
                <w:color w:val="000000" w:themeColor="text1"/>
              </w:rPr>
              <w:footnoteReference w:id="32"/>
            </w:r>
            <w:r w:rsidRPr="00437FB5">
              <w:rPr>
                <w:b w:val="0"/>
                <w:bCs w:val="0"/>
                <w:color w:val="000000" w:themeColor="text1"/>
              </w:rPr>
              <w:t xml:space="preserve"> </w:t>
            </w:r>
          </w:p>
          <w:p w14:paraId="41E1A9EB" w14:textId="77777777" w:rsidR="009607CC" w:rsidRDefault="009607CC" w:rsidP="008E06F4">
            <w:pPr>
              <w:rPr>
                <w:color w:val="000000" w:themeColor="text1"/>
              </w:rPr>
            </w:pPr>
          </w:p>
          <w:p w14:paraId="317EB91B" w14:textId="28108237" w:rsidR="009607CC" w:rsidRPr="00437FB5" w:rsidRDefault="009607CC" w:rsidP="008E06F4">
            <w:pPr>
              <w:rPr>
                <w:b w:val="0"/>
                <w:bCs w:val="0"/>
                <w:color w:val="000000" w:themeColor="text1"/>
              </w:rPr>
            </w:pPr>
            <w:r w:rsidRPr="00437FB5">
              <w:rPr>
                <w:b w:val="0"/>
                <w:bCs w:val="0"/>
                <w:color w:val="000000" w:themeColor="text1"/>
              </w:rPr>
              <w:t xml:space="preserve">This approach reduced denial and disavowal as to whether gender inequality exists, but as something that happens to workers and therefore a responsibility for employers and unions to </w:t>
            </w:r>
            <w:proofErr w:type="gramStart"/>
            <w:r w:rsidRPr="00437FB5">
              <w:rPr>
                <w:b w:val="0"/>
                <w:bCs w:val="0"/>
                <w:color w:val="000000" w:themeColor="text1"/>
              </w:rPr>
              <w:t>take action</w:t>
            </w:r>
            <w:proofErr w:type="gramEnd"/>
            <w:r w:rsidRPr="00437FB5">
              <w:rPr>
                <w:b w:val="0"/>
                <w:bCs w:val="0"/>
                <w:color w:val="000000" w:themeColor="text1"/>
              </w:rPr>
              <w:t xml:space="preserve"> about. </w:t>
            </w:r>
          </w:p>
          <w:p w14:paraId="6590104E" w14:textId="77777777" w:rsidR="009607CC" w:rsidRPr="00437FB5" w:rsidRDefault="009607CC" w:rsidP="008E06F4"/>
        </w:tc>
      </w:tr>
    </w:tbl>
    <w:p w14:paraId="0A0C3B65" w14:textId="77777777" w:rsidR="009607CC" w:rsidRDefault="009607CC" w:rsidP="00B01F9C">
      <w:pPr>
        <w:rPr>
          <w:color w:val="000000" w:themeColor="text1"/>
        </w:rPr>
        <w:sectPr w:rsidR="009607CC" w:rsidSect="009607CC">
          <w:type w:val="continuous"/>
          <w:pgSz w:w="11900" w:h="16850"/>
          <w:pgMar w:top="1340" w:right="1060" w:bottom="1020" w:left="860" w:header="567" w:footer="824" w:gutter="0"/>
          <w:cols w:space="720"/>
          <w:docGrid w:linePitch="299"/>
        </w:sectPr>
      </w:pPr>
    </w:p>
    <w:p w14:paraId="599A6372" w14:textId="5871E56A" w:rsidR="009607CC" w:rsidRDefault="008D63F4" w:rsidP="009607CC">
      <w:pPr>
        <w:rPr>
          <w:color w:val="000000" w:themeColor="text1"/>
        </w:rPr>
      </w:pPr>
      <w:r>
        <w:rPr>
          <w:color w:val="000000" w:themeColor="text1"/>
        </w:rPr>
        <w:lastRenderedPageBreak/>
        <w:t>Similarly,</w:t>
      </w:r>
      <w:r w:rsidR="009607CC" w:rsidRPr="00437FB5">
        <w:rPr>
          <w:color w:val="000000" w:themeColor="text1"/>
        </w:rPr>
        <w:t xml:space="preserve"> </w:t>
      </w:r>
      <w:r w:rsidR="009607CC" w:rsidRPr="00437FB5">
        <w:rPr>
          <w:i/>
          <w:iCs/>
          <w:color w:val="000000" w:themeColor="text1"/>
        </w:rPr>
        <w:t xml:space="preserve">Engaging Men: Reducing Resistance and Building Support </w:t>
      </w:r>
      <w:r w:rsidR="009607CC" w:rsidRPr="00437FB5">
        <w:rPr>
          <w:color w:val="000000" w:themeColor="text1"/>
        </w:rPr>
        <w:t>proposes a spectrum of strategies to engage men in violence prevention, such as mobilising men within communities as allies, working with fathers or male caregivers, and law and policy reforms addressing men and gender (</w:t>
      </w:r>
      <w:r w:rsidR="009607CC">
        <w:rPr>
          <w:color w:val="000000" w:themeColor="text1"/>
        </w:rPr>
        <w:t>Flood et al</w:t>
      </w:r>
      <w:r w:rsidR="009607CC" w:rsidRPr="00437FB5">
        <w:rPr>
          <w:color w:val="000000" w:themeColor="text1"/>
        </w:rPr>
        <w:t xml:space="preserve">., 2021). The resource provides helpful and practical tips for responding to resistance and backlash at an individual level, including building relationships with men informed by a realistic assessment </w:t>
      </w:r>
      <w:r w:rsidR="00546CE2">
        <w:rPr>
          <w:color w:val="000000" w:themeColor="text1"/>
        </w:rPr>
        <w:t>of</w:t>
      </w:r>
      <w:r w:rsidR="009607CC" w:rsidRPr="00437FB5">
        <w:rPr>
          <w:color w:val="000000" w:themeColor="text1"/>
        </w:rPr>
        <w:t xml:space="preserve"> the barriers to male engagement in violence prevention. </w:t>
      </w:r>
    </w:p>
    <w:p w14:paraId="1A65AA47" w14:textId="77777777" w:rsidR="009607CC" w:rsidRDefault="009607CC" w:rsidP="009607CC">
      <w:pPr>
        <w:rPr>
          <w:color w:val="000000" w:themeColor="text1"/>
        </w:rPr>
      </w:pPr>
    </w:p>
    <w:p w14:paraId="08F290AE" w14:textId="1FDFAAE1" w:rsidR="009607CC" w:rsidRDefault="009607CC" w:rsidP="009607CC">
      <w:pPr>
        <w:rPr>
          <w:color w:val="000000" w:themeColor="text1"/>
        </w:rPr>
      </w:pPr>
      <w:r w:rsidRPr="00437FB5">
        <w:rPr>
          <w:color w:val="000000" w:themeColor="text1"/>
        </w:rPr>
        <w:t>The resource advocates for a combined strengths-based framework and human rights approach where commitment</w:t>
      </w:r>
      <w:r w:rsidR="008D63F4">
        <w:rPr>
          <w:color w:val="000000" w:themeColor="text1"/>
        </w:rPr>
        <w:t>s are</w:t>
      </w:r>
      <w:r w:rsidR="00546CE2">
        <w:rPr>
          <w:color w:val="000000" w:themeColor="text1"/>
        </w:rPr>
        <w:t xml:space="preserve"> </w:t>
      </w:r>
      <w:r w:rsidRPr="00437FB5">
        <w:rPr>
          <w:color w:val="000000" w:themeColor="text1"/>
        </w:rPr>
        <w:t>made to work with everyone in the community, while underscoring common rights to safety and equality (</w:t>
      </w:r>
      <w:r>
        <w:rPr>
          <w:color w:val="000000" w:themeColor="text1"/>
        </w:rPr>
        <w:t>Flood</w:t>
      </w:r>
      <w:r w:rsidRPr="00437FB5">
        <w:rPr>
          <w:color w:val="000000" w:themeColor="text1"/>
        </w:rPr>
        <w:t xml:space="preserve"> et al., 2021, p. 4).</w:t>
      </w:r>
      <w:r>
        <w:rPr>
          <w:color w:val="000000" w:themeColor="text1"/>
        </w:rPr>
        <w:br w:type="column"/>
      </w:r>
      <w:r w:rsidRPr="00437FB5">
        <w:rPr>
          <w:color w:val="000000" w:themeColor="text1"/>
        </w:rPr>
        <w:t xml:space="preserve">It refers to men’s navigation of different norms and practices of masculinity depending on the context, with their peers, online, at work and at home for example, shaped by institutional structures and norms. </w:t>
      </w:r>
    </w:p>
    <w:p w14:paraId="4530466D" w14:textId="77777777" w:rsidR="009607CC" w:rsidRDefault="009607CC" w:rsidP="009607CC">
      <w:pPr>
        <w:rPr>
          <w:color w:val="000000" w:themeColor="text1"/>
        </w:rPr>
      </w:pPr>
    </w:p>
    <w:p w14:paraId="33D85F96" w14:textId="0E7051FA" w:rsidR="009607CC" w:rsidRDefault="009607CC" w:rsidP="009607CC">
      <w:pPr>
        <w:rPr>
          <w:color w:val="000000" w:themeColor="text1"/>
        </w:rPr>
        <w:sectPr w:rsidR="009607CC" w:rsidSect="009607CC">
          <w:pgSz w:w="11900" w:h="16850"/>
          <w:pgMar w:top="1340" w:right="1060" w:bottom="1020" w:left="860" w:header="567" w:footer="824" w:gutter="0"/>
          <w:cols w:num="2" w:space="720"/>
          <w:docGrid w:linePitch="299"/>
        </w:sectPr>
      </w:pPr>
      <w:r w:rsidRPr="00437FB5">
        <w:rPr>
          <w:color w:val="000000" w:themeColor="text1"/>
        </w:rPr>
        <w:t>This underscores the importance of connecting the dots between addressing the gendered drivers of violence against women as ‘a training I had to do at work’ with challenging, for example, sexist peer cultures among friends and taking bystander action.</w:t>
      </w:r>
      <w:r w:rsidRPr="00437FB5">
        <w:rPr>
          <w:rStyle w:val="FootnoteReference"/>
          <w:color w:val="000000" w:themeColor="text1"/>
        </w:rPr>
        <w:footnoteReference w:id="33"/>
      </w:r>
      <w:r w:rsidRPr="00437FB5">
        <w:rPr>
          <w:color w:val="000000" w:themeColor="text1"/>
        </w:rPr>
        <w:t xml:space="preserve"> This can be difficult for men (and women) to challenge sexist and misogynistic peer cultures as there may be real or perceived consequence of a loss of social status among male peers, intensified policing of their gender and sexualities, and criticism, mockery and </w:t>
      </w:r>
      <w:proofErr w:type="spellStart"/>
      <w:r w:rsidRPr="00437FB5">
        <w:rPr>
          <w:color w:val="000000" w:themeColor="text1"/>
        </w:rPr>
        <w:t>ostraci</w:t>
      </w:r>
      <w:r w:rsidR="00546CE2">
        <w:rPr>
          <w:color w:val="000000" w:themeColor="text1"/>
        </w:rPr>
        <w:t>s</w:t>
      </w:r>
      <w:r w:rsidRPr="00437FB5">
        <w:rPr>
          <w:color w:val="000000" w:themeColor="text1"/>
        </w:rPr>
        <w:t>ation</w:t>
      </w:r>
      <w:proofErr w:type="spellEnd"/>
      <w:r w:rsidRPr="00437FB5">
        <w:rPr>
          <w:color w:val="000000" w:themeColor="text1"/>
        </w:rPr>
        <w:t xml:space="preserve"> (</w:t>
      </w:r>
      <w:r>
        <w:rPr>
          <w:color w:val="000000" w:themeColor="text1"/>
        </w:rPr>
        <w:t>Flood et al.,</w:t>
      </w:r>
      <w:r w:rsidRPr="00437FB5">
        <w:rPr>
          <w:color w:val="000000" w:themeColor="text1"/>
        </w:rPr>
        <w:t xml:space="preserve"> 2021, p. 4</w:t>
      </w:r>
      <w:r w:rsidR="00546CE2">
        <w:rPr>
          <w:color w:val="000000" w:themeColor="text1"/>
        </w:rPr>
        <w:t>).</w:t>
      </w:r>
    </w:p>
    <w:tbl>
      <w:tblPr>
        <w:tblStyle w:val="TableGrid"/>
        <w:tblpPr w:leftFromText="180" w:rightFromText="180" w:vertAnchor="text" w:horzAnchor="margin" w:tblpY="75"/>
        <w:tblW w:w="0" w:type="auto"/>
        <w:tblLook w:val="04A0" w:firstRow="1" w:lastRow="0" w:firstColumn="1" w:lastColumn="0" w:noHBand="0" w:noVBand="1"/>
      </w:tblPr>
      <w:tblGrid>
        <w:gridCol w:w="9908"/>
      </w:tblGrid>
      <w:tr w:rsidR="009607CC" w:rsidRPr="00437FB5" w14:paraId="072BD249" w14:textId="77777777" w:rsidTr="009607CC">
        <w:trPr>
          <w:cnfStyle w:val="100000000000" w:firstRow="1" w:lastRow="0" w:firstColumn="0" w:lastColumn="0" w:oddVBand="0" w:evenVBand="0" w:oddHBand="0" w:evenHBand="0" w:firstRowFirstColumn="0" w:firstRowLastColumn="0" w:lastRowFirstColumn="0" w:lastRowLastColumn="0"/>
        </w:trPr>
        <w:tc>
          <w:tcPr>
            <w:tcW w:w="9908" w:type="dxa"/>
            <w:tcBorders>
              <w:top w:val="double" w:sz="4" w:space="0" w:color="F79646" w:themeColor="accent6"/>
              <w:left w:val="double" w:sz="4" w:space="0" w:color="F79646" w:themeColor="accent6"/>
              <w:bottom w:val="double" w:sz="4" w:space="0" w:color="F79646" w:themeColor="accent6"/>
              <w:right w:val="double" w:sz="4" w:space="0" w:color="F79646" w:themeColor="accent6"/>
            </w:tcBorders>
            <w:shd w:val="clear" w:color="auto" w:fill="FDE9D9" w:themeFill="accent6" w:themeFillTint="33"/>
          </w:tcPr>
          <w:p w14:paraId="75B93B32" w14:textId="17BE841B" w:rsidR="009607CC" w:rsidRPr="007F50DB" w:rsidRDefault="009607CC" w:rsidP="007F50DB">
            <w:pPr>
              <w:pStyle w:val="Caption"/>
              <w:widowControl/>
              <w:autoSpaceDE/>
              <w:autoSpaceDN/>
              <w:rPr>
                <w:b w:val="0"/>
                <w:color w:val="F79646" w:themeColor="accent6"/>
                <w:sz w:val="22"/>
                <w:szCs w:val="22"/>
              </w:rPr>
            </w:pPr>
            <w:bookmarkStart w:id="132" w:name="_Toc75940831"/>
            <w:r w:rsidRPr="007F50DB">
              <w:rPr>
                <w:color w:val="F79646" w:themeColor="accent6"/>
                <w:sz w:val="22"/>
                <w:szCs w:val="22"/>
              </w:rPr>
              <w:t xml:space="preserve">Highlight Box </w:t>
            </w:r>
            <w:r w:rsidRPr="007F50DB">
              <w:rPr>
                <w:color w:val="F79646" w:themeColor="accent6"/>
                <w:sz w:val="22"/>
                <w:szCs w:val="22"/>
              </w:rPr>
              <w:fldChar w:fldCharType="begin"/>
            </w:r>
            <w:r w:rsidRPr="007F50DB">
              <w:rPr>
                <w:color w:val="F79646" w:themeColor="accent6"/>
                <w:sz w:val="22"/>
                <w:szCs w:val="22"/>
              </w:rPr>
              <w:instrText xml:space="preserve"> SEQ Highlight_Box \* ARABIC </w:instrText>
            </w:r>
            <w:r w:rsidRPr="007F50DB">
              <w:rPr>
                <w:color w:val="F79646" w:themeColor="accent6"/>
                <w:sz w:val="22"/>
                <w:szCs w:val="22"/>
              </w:rPr>
              <w:fldChar w:fldCharType="separate"/>
            </w:r>
            <w:r w:rsidR="00D93EBF">
              <w:rPr>
                <w:noProof/>
                <w:color w:val="F79646" w:themeColor="accent6"/>
                <w:sz w:val="22"/>
                <w:szCs w:val="22"/>
              </w:rPr>
              <w:t>8</w:t>
            </w:r>
            <w:r w:rsidRPr="007F50DB">
              <w:rPr>
                <w:color w:val="F79646" w:themeColor="accent6"/>
                <w:sz w:val="22"/>
                <w:szCs w:val="22"/>
              </w:rPr>
              <w:fldChar w:fldCharType="end"/>
            </w:r>
            <w:r w:rsidRPr="007F50DB">
              <w:rPr>
                <w:color w:val="F79646" w:themeColor="accent6"/>
                <w:sz w:val="22"/>
                <w:szCs w:val="22"/>
              </w:rPr>
              <w:t>: "There are some jobs women can’t do, like garbage jobs"</w:t>
            </w:r>
            <w:bookmarkEnd w:id="132"/>
          </w:p>
          <w:p w14:paraId="5E20F6F5" w14:textId="77777777" w:rsidR="009607CC" w:rsidRDefault="009607CC" w:rsidP="009607CC">
            <w:pPr>
              <w:rPr>
                <w:bCs/>
                <w:szCs w:val="24"/>
              </w:rPr>
            </w:pPr>
            <w:r w:rsidRPr="009607CC">
              <w:rPr>
                <w:b w:val="0"/>
                <w:bCs/>
                <w:szCs w:val="24"/>
              </w:rPr>
              <w:t xml:space="preserve">In a training with a group of local government workers in waste disposal, one practitioner described the types of resistance they faced in changing organisational perceptions around women’s participation in the sector. With this </w:t>
            </w:r>
            <w:proofErr w:type="gramStart"/>
            <w:r w:rsidRPr="009607CC">
              <w:rPr>
                <w:b w:val="0"/>
                <w:bCs/>
                <w:szCs w:val="24"/>
              </w:rPr>
              <w:t>particular group</w:t>
            </w:r>
            <w:proofErr w:type="gramEnd"/>
            <w:r w:rsidRPr="009607CC">
              <w:rPr>
                <w:b w:val="0"/>
                <w:bCs/>
                <w:szCs w:val="24"/>
              </w:rPr>
              <w:t xml:space="preserve"> of workers, garbage collections happen in isolated areas perceived as less safe, where one man would go out to collect rubbish. In discussions around how to increase the number of women working in the group, male participants </w:t>
            </w:r>
            <w:proofErr w:type="gramStart"/>
            <w:r w:rsidRPr="009607CC">
              <w:rPr>
                <w:b w:val="0"/>
                <w:bCs/>
                <w:szCs w:val="24"/>
              </w:rPr>
              <w:t>said</w:t>
            </w:r>
            <w:proofErr w:type="gramEnd"/>
            <w:r w:rsidRPr="009607CC">
              <w:rPr>
                <w:b w:val="0"/>
                <w:bCs/>
                <w:szCs w:val="24"/>
              </w:rPr>
              <w:t xml:space="preserve"> “there are some jobs women can’t do, like garbage jobs”. </w:t>
            </w:r>
          </w:p>
          <w:p w14:paraId="31AEF058" w14:textId="77777777" w:rsidR="009607CC" w:rsidRDefault="009607CC" w:rsidP="009607CC">
            <w:pPr>
              <w:rPr>
                <w:bCs/>
                <w:szCs w:val="24"/>
              </w:rPr>
            </w:pPr>
          </w:p>
          <w:p w14:paraId="1F47238E" w14:textId="77777777" w:rsidR="009607CC" w:rsidRPr="00437FB5" w:rsidRDefault="009607CC" w:rsidP="009607CC">
            <w:pPr>
              <w:rPr>
                <w:szCs w:val="24"/>
              </w:rPr>
            </w:pPr>
            <w:r w:rsidRPr="009607CC">
              <w:rPr>
                <w:b w:val="0"/>
                <w:bCs/>
                <w:szCs w:val="24"/>
              </w:rPr>
              <w:t>The implication was that women couldn’t do this kind of job because they would be unsafe and at risk; their absence from such work being a form of protection. In response to this, the practitioner raised the possibility of changing workplace practices and received the response that “you can’t go that far, this is how things have always been done”. By highlighting other aspects of workplace change, where in fact such changes to practices and policies occur all the time, the practitioner questioned why addressing women’s participation was unacceptable where other change had been accepted and implemented, reinforcing that “perhaps the workplace is at a point in its history where things must change”. For example, sending two staff members to isolated areas to collect rubbish, and highlighting the importance of women’s participation.</w:t>
            </w:r>
          </w:p>
        </w:tc>
      </w:tr>
    </w:tbl>
    <w:p w14:paraId="554B09F1" w14:textId="77777777" w:rsidR="009607CC" w:rsidRDefault="009607CC" w:rsidP="009607CC">
      <w:pPr>
        <w:rPr>
          <w:color w:val="000000" w:themeColor="text1"/>
        </w:rPr>
        <w:sectPr w:rsidR="009607CC" w:rsidSect="009607CC">
          <w:type w:val="continuous"/>
          <w:pgSz w:w="11900" w:h="16850"/>
          <w:pgMar w:top="1340" w:right="1060" w:bottom="1020" w:left="860" w:header="567" w:footer="824" w:gutter="0"/>
          <w:cols w:space="720"/>
          <w:docGrid w:linePitch="299"/>
        </w:sectPr>
      </w:pPr>
    </w:p>
    <w:p w14:paraId="2458F1B2" w14:textId="77777777" w:rsidR="00863974" w:rsidRDefault="00863974">
      <w:pPr>
        <w:rPr>
          <w:b/>
          <w:bCs/>
          <w:color w:val="E57200"/>
          <w:sz w:val="32"/>
          <w:szCs w:val="24"/>
          <w:u w:color="000000"/>
        </w:rPr>
      </w:pPr>
      <w:bookmarkStart w:id="133" w:name="_Toc85620754"/>
      <w:bookmarkStart w:id="134" w:name="_Toc87526341"/>
      <w:r>
        <w:rPr>
          <w:bCs/>
          <w:sz w:val="32"/>
          <w:szCs w:val="24"/>
        </w:rPr>
        <w:br w:type="page"/>
      </w:r>
    </w:p>
    <w:p w14:paraId="5EEF2E39" w14:textId="5C4A8D30" w:rsidR="009607CC" w:rsidRPr="007F50DB" w:rsidRDefault="009607CC" w:rsidP="009607CC">
      <w:pPr>
        <w:pStyle w:val="Heading3"/>
        <w:tabs>
          <w:tab w:val="left" w:pos="1418"/>
        </w:tabs>
        <w:spacing w:before="0" w:after="120"/>
        <w:rPr>
          <w:rFonts w:eastAsia="Arial" w:cs="Arial"/>
          <w:bCs/>
          <w:sz w:val="32"/>
          <w:szCs w:val="24"/>
        </w:rPr>
      </w:pPr>
      <w:r w:rsidRPr="007F50DB">
        <w:rPr>
          <w:rFonts w:eastAsia="Arial" w:cs="Arial"/>
          <w:bCs/>
          <w:sz w:val="32"/>
          <w:szCs w:val="24"/>
        </w:rPr>
        <w:lastRenderedPageBreak/>
        <w:t>Overcoming resistance</w:t>
      </w:r>
      <w:bookmarkEnd w:id="133"/>
      <w:bookmarkEnd w:id="134"/>
    </w:p>
    <w:p w14:paraId="4CA15181" w14:textId="77777777" w:rsidR="009607CC" w:rsidRDefault="009607CC" w:rsidP="009607CC">
      <w:r w:rsidRPr="00437FB5">
        <w:t xml:space="preserve">Working with individuals, groups of people and institutions who remain resistant to primary prevention of violence against women and gender equality is sometimes necessary. Finding the right levers to overcome resistance can be challenging, what works in one context, may not be successful in another. </w:t>
      </w:r>
    </w:p>
    <w:p w14:paraId="6FDA11C8" w14:textId="77777777" w:rsidR="009607CC" w:rsidRDefault="009607CC" w:rsidP="009607CC"/>
    <w:p w14:paraId="3808D46A" w14:textId="1BE92A35" w:rsidR="009607CC" w:rsidRDefault="009607CC" w:rsidP="009607CC">
      <w:r>
        <w:br w:type="column"/>
      </w:r>
      <w:r w:rsidRPr="00437FB5">
        <w:t xml:space="preserve">Moreover, some people may never accept responsibility for their part in the change process. The goal is bringing the institution at large and as many individuals as possible along the journey </w:t>
      </w:r>
      <w:r>
        <w:t>to achieve a society free from violence</w:t>
      </w:r>
      <w:r w:rsidRPr="00437FB5">
        <w:t xml:space="preserve">. </w:t>
      </w:r>
    </w:p>
    <w:p w14:paraId="67F19023" w14:textId="77777777" w:rsidR="009607CC" w:rsidRDefault="009607CC" w:rsidP="009607CC">
      <w:pPr>
        <w:rPr>
          <w:color w:val="000000" w:themeColor="text1"/>
        </w:rPr>
        <w:sectPr w:rsidR="009607CC" w:rsidSect="009607CC">
          <w:type w:val="continuous"/>
          <w:pgSz w:w="11900" w:h="16850"/>
          <w:pgMar w:top="1340" w:right="1060" w:bottom="1020" w:left="860" w:header="567" w:footer="824" w:gutter="0"/>
          <w:cols w:num="2" w:space="720"/>
          <w:docGrid w:linePitch="299"/>
        </w:sectPr>
      </w:pPr>
    </w:p>
    <w:tbl>
      <w:tblPr>
        <w:tblStyle w:val="GridTable4-Accent2"/>
        <w:tblpPr w:leftFromText="180" w:rightFromText="180" w:vertAnchor="text" w:horzAnchor="margin" w:tblpY="63"/>
        <w:tblW w:w="0" w:type="auto"/>
        <w:tblLook w:val="04A0" w:firstRow="1" w:lastRow="0" w:firstColumn="1" w:lastColumn="0" w:noHBand="0" w:noVBand="1"/>
      </w:tblPr>
      <w:tblGrid>
        <w:gridCol w:w="9766"/>
      </w:tblGrid>
      <w:tr w:rsidR="009607CC" w:rsidRPr="00437FB5" w14:paraId="3295E2A1" w14:textId="77777777" w:rsidTr="008E0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6" w:type="dxa"/>
            <w:tcBorders>
              <w:top w:val="double" w:sz="4" w:space="0" w:color="C0504D" w:themeColor="accent2"/>
              <w:left w:val="double" w:sz="4" w:space="0" w:color="C0504D" w:themeColor="accent2"/>
              <w:bottom w:val="double" w:sz="4" w:space="0" w:color="C0504D" w:themeColor="accent2"/>
              <w:right w:val="double" w:sz="4" w:space="0" w:color="C0504D" w:themeColor="accent2"/>
            </w:tcBorders>
            <w:shd w:val="clear" w:color="auto" w:fill="F2DBDB" w:themeFill="accent2" w:themeFillTint="33"/>
          </w:tcPr>
          <w:p w14:paraId="519F5F89" w14:textId="00277C19" w:rsidR="009607CC" w:rsidRPr="007F50DB" w:rsidRDefault="009607CC" w:rsidP="008E06F4">
            <w:pPr>
              <w:pStyle w:val="Caption"/>
              <w:rPr>
                <w:b w:val="0"/>
                <w:bCs w:val="0"/>
                <w:color w:val="F79646" w:themeColor="accent6"/>
                <w:sz w:val="22"/>
                <w:szCs w:val="22"/>
              </w:rPr>
            </w:pPr>
            <w:bookmarkStart w:id="135" w:name="_Toc75940832"/>
            <w:r w:rsidRPr="007F50DB">
              <w:rPr>
                <w:color w:val="F79646" w:themeColor="accent6"/>
                <w:sz w:val="22"/>
                <w:szCs w:val="22"/>
              </w:rPr>
              <w:t xml:space="preserve">Highlight Box </w:t>
            </w:r>
            <w:r w:rsidRPr="007F50DB">
              <w:rPr>
                <w:color w:val="F79646" w:themeColor="accent6"/>
                <w:sz w:val="22"/>
                <w:szCs w:val="22"/>
              </w:rPr>
              <w:fldChar w:fldCharType="begin"/>
            </w:r>
            <w:r w:rsidRPr="007F50DB">
              <w:rPr>
                <w:color w:val="F79646" w:themeColor="accent6"/>
                <w:sz w:val="22"/>
                <w:szCs w:val="22"/>
              </w:rPr>
              <w:instrText xml:space="preserve"> SEQ Highlight_Box \* ARABIC </w:instrText>
            </w:r>
            <w:r w:rsidRPr="007F50DB">
              <w:rPr>
                <w:color w:val="F79646" w:themeColor="accent6"/>
                <w:sz w:val="22"/>
                <w:szCs w:val="22"/>
              </w:rPr>
              <w:fldChar w:fldCharType="separate"/>
            </w:r>
            <w:r w:rsidR="00D93EBF">
              <w:rPr>
                <w:noProof/>
                <w:color w:val="F79646" w:themeColor="accent6"/>
                <w:sz w:val="22"/>
                <w:szCs w:val="22"/>
              </w:rPr>
              <w:t>9</w:t>
            </w:r>
            <w:r w:rsidRPr="007F50DB">
              <w:rPr>
                <w:color w:val="F79646" w:themeColor="accent6"/>
                <w:sz w:val="22"/>
                <w:szCs w:val="22"/>
              </w:rPr>
              <w:fldChar w:fldCharType="end"/>
            </w:r>
            <w:r w:rsidRPr="007F50DB">
              <w:rPr>
                <w:color w:val="F79646" w:themeColor="accent6"/>
                <w:sz w:val="22"/>
                <w:szCs w:val="22"/>
              </w:rPr>
              <w:t>: Michael Flood, Dealing with resistance</w:t>
            </w:r>
            <w:bookmarkEnd w:id="135"/>
          </w:p>
          <w:p w14:paraId="6A20ED4C" w14:textId="77777777" w:rsidR="009607CC" w:rsidRPr="00437FB5" w:rsidRDefault="009607CC" w:rsidP="008E06F4">
            <w:pPr>
              <w:rPr>
                <w:color w:val="000000" w:themeColor="text1"/>
              </w:rPr>
            </w:pPr>
            <w:r w:rsidRPr="00437FB5">
              <w:rPr>
                <w:b w:val="0"/>
                <w:bCs w:val="0"/>
                <w:color w:val="000000" w:themeColor="text1"/>
              </w:rPr>
              <w:t xml:space="preserve">In his book </w:t>
            </w:r>
            <w:r w:rsidRPr="00437FB5">
              <w:rPr>
                <w:b w:val="0"/>
                <w:bCs w:val="0"/>
                <w:i/>
                <w:iCs/>
                <w:color w:val="000000" w:themeColor="text1"/>
              </w:rPr>
              <w:t>Engaging Men and Boys in Violence Prevention</w:t>
            </w:r>
            <w:r w:rsidRPr="00437FB5">
              <w:rPr>
                <w:b w:val="0"/>
                <w:bCs w:val="0"/>
                <w:color w:val="000000" w:themeColor="text1"/>
              </w:rPr>
              <w:t>, Flood (2018) outlines strategies to reach and engage men and change their behaviour, including an examination of face-to-face education and media and communications campaigns. To move towards this goal, he highlights the importance of men’s critical self-reflection and providing safe spaces to do this. In his chapter on ‘Dealing with Resistance’, Flood presents several useful ways to deal with men’s resistance to primary prevention interventions and programs. This encompasses an examination of both the content and processes of such endeavours (201</w:t>
            </w:r>
            <w:r>
              <w:rPr>
                <w:b w:val="0"/>
                <w:bCs w:val="0"/>
                <w:color w:val="000000" w:themeColor="text1"/>
              </w:rPr>
              <w:t>9</w:t>
            </w:r>
            <w:r w:rsidRPr="00437FB5">
              <w:rPr>
                <w:b w:val="0"/>
                <w:bCs w:val="0"/>
                <w:color w:val="000000" w:themeColor="text1"/>
              </w:rPr>
              <w:t>, pp. 325-332)</w:t>
            </w:r>
            <w:r>
              <w:rPr>
                <w:b w:val="0"/>
                <w:bCs w:val="0"/>
                <w:color w:val="000000" w:themeColor="text1"/>
              </w:rPr>
              <w:t>.</w:t>
            </w:r>
          </w:p>
          <w:p w14:paraId="0C3C7758" w14:textId="77777777" w:rsidR="009607CC" w:rsidRPr="00437FB5" w:rsidRDefault="009607CC" w:rsidP="008E06F4">
            <w:pPr>
              <w:rPr>
                <w:color w:val="000000" w:themeColor="text1"/>
              </w:rPr>
            </w:pPr>
          </w:p>
          <w:p w14:paraId="06BB32AE" w14:textId="77777777" w:rsidR="009607CC" w:rsidRPr="00437FB5" w:rsidRDefault="009607CC" w:rsidP="008E06F4">
            <w:pPr>
              <w:rPr>
                <w:color w:val="000000" w:themeColor="text1"/>
              </w:rPr>
            </w:pPr>
            <w:r w:rsidRPr="00437FB5">
              <w:rPr>
                <w:color w:val="000000" w:themeColor="text1"/>
              </w:rPr>
              <w:t>Content:</w:t>
            </w:r>
          </w:p>
          <w:p w14:paraId="5693EA2B" w14:textId="77777777" w:rsidR="009607CC" w:rsidRPr="00437FB5" w:rsidRDefault="009607CC" w:rsidP="009607CC">
            <w:pPr>
              <w:pStyle w:val="ListParagraph"/>
              <w:numPr>
                <w:ilvl w:val="0"/>
                <w:numId w:val="16"/>
              </w:numPr>
              <w:spacing w:before="0"/>
              <w:contextualSpacing/>
              <w:rPr>
                <w:b w:val="0"/>
                <w:bCs w:val="0"/>
                <w:color w:val="000000" w:themeColor="text1"/>
              </w:rPr>
            </w:pPr>
            <w:r w:rsidRPr="00437FB5">
              <w:rPr>
                <w:b w:val="0"/>
                <w:bCs w:val="0"/>
                <w:color w:val="000000" w:themeColor="text1"/>
              </w:rPr>
              <w:t>Make it real</w:t>
            </w:r>
          </w:p>
          <w:p w14:paraId="038B4CDD" w14:textId="77777777" w:rsidR="009607CC" w:rsidRPr="00437FB5" w:rsidRDefault="009607CC" w:rsidP="009607CC">
            <w:pPr>
              <w:pStyle w:val="ListParagraph"/>
              <w:numPr>
                <w:ilvl w:val="0"/>
                <w:numId w:val="16"/>
              </w:numPr>
              <w:spacing w:before="0"/>
              <w:contextualSpacing/>
              <w:rPr>
                <w:b w:val="0"/>
                <w:bCs w:val="0"/>
                <w:color w:val="000000" w:themeColor="text1"/>
              </w:rPr>
            </w:pPr>
            <w:r w:rsidRPr="00437FB5">
              <w:rPr>
                <w:b w:val="0"/>
                <w:bCs w:val="0"/>
                <w:color w:val="000000" w:themeColor="text1"/>
              </w:rPr>
              <w:t>Draw on culturally appropriate materials</w:t>
            </w:r>
          </w:p>
          <w:p w14:paraId="12107A94" w14:textId="77777777" w:rsidR="009607CC" w:rsidRPr="00437FB5" w:rsidRDefault="009607CC" w:rsidP="009607CC">
            <w:pPr>
              <w:pStyle w:val="ListParagraph"/>
              <w:numPr>
                <w:ilvl w:val="0"/>
                <w:numId w:val="16"/>
              </w:numPr>
              <w:spacing w:before="0"/>
              <w:contextualSpacing/>
              <w:rPr>
                <w:b w:val="0"/>
                <w:bCs w:val="0"/>
                <w:color w:val="000000" w:themeColor="text1"/>
              </w:rPr>
            </w:pPr>
            <w:r w:rsidRPr="00437FB5">
              <w:rPr>
                <w:b w:val="0"/>
                <w:bCs w:val="0"/>
                <w:color w:val="000000" w:themeColor="text1"/>
              </w:rPr>
              <w:t>Personalise women’s disadvantage</w:t>
            </w:r>
          </w:p>
          <w:p w14:paraId="1D3B2D66" w14:textId="77777777" w:rsidR="009607CC" w:rsidRPr="00437FB5" w:rsidRDefault="009607CC" w:rsidP="009607CC">
            <w:pPr>
              <w:pStyle w:val="ListParagraph"/>
              <w:numPr>
                <w:ilvl w:val="0"/>
                <w:numId w:val="16"/>
              </w:numPr>
              <w:spacing w:before="0"/>
              <w:contextualSpacing/>
              <w:rPr>
                <w:b w:val="0"/>
                <w:bCs w:val="0"/>
                <w:color w:val="000000" w:themeColor="text1"/>
              </w:rPr>
            </w:pPr>
            <w:r w:rsidRPr="00437FB5">
              <w:rPr>
                <w:b w:val="0"/>
                <w:bCs w:val="0"/>
                <w:color w:val="000000" w:themeColor="text1"/>
              </w:rPr>
              <w:t>Make analogies to other forms of inequality</w:t>
            </w:r>
          </w:p>
          <w:p w14:paraId="354A0B03" w14:textId="57C70FC6" w:rsidR="00863974" w:rsidRPr="00C4511B" w:rsidRDefault="00863974" w:rsidP="009607CC">
            <w:pPr>
              <w:pStyle w:val="ListParagraph"/>
              <w:numPr>
                <w:ilvl w:val="0"/>
                <w:numId w:val="16"/>
              </w:numPr>
              <w:spacing w:before="0"/>
              <w:contextualSpacing/>
              <w:rPr>
                <w:b w:val="0"/>
                <w:bCs w:val="0"/>
                <w:color w:val="000000" w:themeColor="text1"/>
              </w:rPr>
            </w:pPr>
            <w:r w:rsidRPr="00863974">
              <w:rPr>
                <w:b w:val="0"/>
                <w:bCs w:val="0"/>
                <w:color w:val="000000" w:themeColor="text1"/>
              </w:rPr>
              <w:t>Substitute race and gender in examples to highlight potentially similar experiences of discrimination</w:t>
            </w:r>
          </w:p>
          <w:p w14:paraId="55F24B15" w14:textId="321A4807" w:rsidR="009607CC" w:rsidRPr="00437FB5" w:rsidRDefault="009607CC" w:rsidP="009607CC">
            <w:pPr>
              <w:pStyle w:val="ListParagraph"/>
              <w:numPr>
                <w:ilvl w:val="0"/>
                <w:numId w:val="16"/>
              </w:numPr>
              <w:spacing w:before="0"/>
              <w:contextualSpacing/>
              <w:rPr>
                <w:b w:val="0"/>
                <w:bCs w:val="0"/>
                <w:color w:val="000000" w:themeColor="text1"/>
              </w:rPr>
            </w:pPr>
            <w:r w:rsidRPr="00437FB5">
              <w:rPr>
                <w:b w:val="0"/>
                <w:bCs w:val="0"/>
                <w:color w:val="000000" w:themeColor="text1"/>
              </w:rPr>
              <w:t>Appeal to universal values</w:t>
            </w:r>
          </w:p>
          <w:p w14:paraId="4B373BFF" w14:textId="77777777" w:rsidR="009607CC" w:rsidRPr="00437FB5" w:rsidRDefault="009607CC" w:rsidP="009607CC">
            <w:pPr>
              <w:pStyle w:val="ListParagraph"/>
              <w:numPr>
                <w:ilvl w:val="0"/>
                <w:numId w:val="16"/>
              </w:numPr>
              <w:spacing w:before="0"/>
              <w:contextualSpacing/>
              <w:rPr>
                <w:b w:val="0"/>
                <w:bCs w:val="0"/>
                <w:color w:val="000000" w:themeColor="text1"/>
              </w:rPr>
            </w:pPr>
            <w:r w:rsidRPr="00437FB5">
              <w:rPr>
                <w:b w:val="0"/>
                <w:bCs w:val="0"/>
                <w:color w:val="000000" w:themeColor="text1"/>
              </w:rPr>
              <w:t>Expose false parallels</w:t>
            </w:r>
          </w:p>
          <w:p w14:paraId="21058E8A" w14:textId="77777777" w:rsidR="009607CC" w:rsidRPr="00437FB5" w:rsidRDefault="009607CC" w:rsidP="009607CC">
            <w:pPr>
              <w:pStyle w:val="ListParagraph"/>
              <w:numPr>
                <w:ilvl w:val="0"/>
                <w:numId w:val="16"/>
              </w:numPr>
              <w:spacing w:before="0"/>
              <w:contextualSpacing/>
              <w:rPr>
                <w:b w:val="0"/>
                <w:bCs w:val="0"/>
                <w:color w:val="000000" w:themeColor="text1"/>
              </w:rPr>
            </w:pPr>
            <w:r w:rsidRPr="00437FB5">
              <w:rPr>
                <w:b w:val="0"/>
                <w:bCs w:val="0"/>
                <w:color w:val="000000" w:themeColor="text1"/>
              </w:rPr>
              <w:t>Address men’s own experiences of gender</w:t>
            </w:r>
          </w:p>
          <w:p w14:paraId="6D3A02FF" w14:textId="77777777" w:rsidR="009607CC" w:rsidRPr="00437FB5" w:rsidRDefault="009607CC" w:rsidP="008E06F4">
            <w:pPr>
              <w:rPr>
                <w:b w:val="0"/>
                <w:bCs w:val="0"/>
                <w:color w:val="000000" w:themeColor="text1"/>
              </w:rPr>
            </w:pPr>
            <w:r w:rsidRPr="00437FB5">
              <w:rPr>
                <w:color w:val="000000" w:themeColor="text1"/>
              </w:rPr>
              <w:t xml:space="preserve">Processes </w:t>
            </w:r>
          </w:p>
          <w:p w14:paraId="6591D9AF" w14:textId="77777777" w:rsidR="009607CC" w:rsidRPr="00437FB5" w:rsidRDefault="009607CC" w:rsidP="009607CC">
            <w:pPr>
              <w:pStyle w:val="ListParagraph"/>
              <w:numPr>
                <w:ilvl w:val="0"/>
                <w:numId w:val="25"/>
              </w:numPr>
              <w:spacing w:before="0"/>
              <w:contextualSpacing/>
              <w:rPr>
                <w:b w:val="0"/>
                <w:bCs w:val="0"/>
                <w:color w:val="000000" w:themeColor="text1"/>
              </w:rPr>
            </w:pPr>
            <w:r w:rsidRPr="00437FB5">
              <w:rPr>
                <w:b w:val="0"/>
                <w:bCs w:val="0"/>
                <w:color w:val="000000" w:themeColor="text1"/>
              </w:rPr>
              <w:t>Acknowledge one’s privilege</w:t>
            </w:r>
          </w:p>
          <w:p w14:paraId="275901E4" w14:textId="77777777" w:rsidR="009607CC" w:rsidRPr="00437FB5" w:rsidRDefault="009607CC" w:rsidP="009607CC">
            <w:pPr>
              <w:pStyle w:val="ListParagraph"/>
              <w:numPr>
                <w:ilvl w:val="0"/>
                <w:numId w:val="25"/>
              </w:numPr>
              <w:spacing w:before="0"/>
              <w:contextualSpacing/>
              <w:rPr>
                <w:b w:val="0"/>
                <w:bCs w:val="0"/>
                <w:color w:val="000000" w:themeColor="text1"/>
              </w:rPr>
            </w:pPr>
            <w:r w:rsidRPr="00437FB5">
              <w:rPr>
                <w:b w:val="0"/>
                <w:bCs w:val="0"/>
                <w:color w:val="000000" w:themeColor="text1"/>
              </w:rPr>
              <w:t>Document inequalities</w:t>
            </w:r>
          </w:p>
          <w:p w14:paraId="1CAA5036" w14:textId="77777777" w:rsidR="009607CC" w:rsidRPr="00437FB5" w:rsidRDefault="009607CC" w:rsidP="009607CC">
            <w:pPr>
              <w:pStyle w:val="ListParagraph"/>
              <w:numPr>
                <w:ilvl w:val="0"/>
                <w:numId w:val="25"/>
              </w:numPr>
              <w:spacing w:before="0"/>
              <w:contextualSpacing/>
              <w:rPr>
                <w:b w:val="0"/>
                <w:bCs w:val="0"/>
                <w:color w:val="000000" w:themeColor="text1"/>
              </w:rPr>
            </w:pPr>
            <w:r w:rsidRPr="00437FB5">
              <w:rPr>
                <w:b w:val="0"/>
                <w:bCs w:val="0"/>
                <w:color w:val="000000" w:themeColor="text1"/>
              </w:rPr>
              <w:t>Imagine walking in women’s shoes</w:t>
            </w:r>
          </w:p>
          <w:p w14:paraId="4CD3ECED" w14:textId="77777777" w:rsidR="009607CC" w:rsidRPr="00437FB5" w:rsidRDefault="009607CC" w:rsidP="009607CC">
            <w:pPr>
              <w:pStyle w:val="ListParagraph"/>
              <w:numPr>
                <w:ilvl w:val="0"/>
                <w:numId w:val="25"/>
              </w:numPr>
              <w:spacing w:before="0"/>
              <w:contextualSpacing/>
              <w:rPr>
                <w:b w:val="0"/>
                <w:bCs w:val="0"/>
                <w:color w:val="000000" w:themeColor="text1"/>
              </w:rPr>
            </w:pPr>
            <w:r w:rsidRPr="00437FB5">
              <w:rPr>
                <w:b w:val="0"/>
                <w:bCs w:val="0"/>
                <w:color w:val="000000" w:themeColor="text1"/>
              </w:rPr>
              <w:t>Listen to women</w:t>
            </w:r>
          </w:p>
          <w:p w14:paraId="79351A9C" w14:textId="77777777" w:rsidR="009607CC" w:rsidRPr="00437FB5" w:rsidRDefault="009607CC" w:rsidP="009607CC">
            <w:pPr>
              <w:pStyle w:val="ListParagraph"/>
              <w:numPr>
                <w:ilvl w:val="0"/>
                <w:numId w:val="25"/>
              </w:numPr>
              <w:spacing w:before="0"/>
              <w:contextualSpacing/>
              <w:rPr>
                <w:b w:val="0"/>
                <w:bCs w:val="0"/>
                <w:color w:val="000000" w:themeColor="text1"/>
              </w:rPr>
            </w:pPr>
            <w:r w:rsidRPr="00437FB5">
              <w:rPr>
                <w:b w:val="0"/>
                <w:bCs w:val="0"/>
                <w:color w:val="000000" w:themeColor="text1"/>
              </w:rPr>
              <w:t>Make the familiar strange</w:t>
            </w:r>
          </w:p>
          <w:p w14:paraId="054ABCB3" w14:textId="77777777" w:rsidR="009607CC" w:rsidRPr="00437FB5" w:rsidRDefault="009607CC" w:rsidP="009607CC">
            <w:pPr>
              <w:pStyle w:val="ListParagraph"/>
              <w:numPr>
                <w:ilvl w:val="0"/>
                <w:numId w:val="25"/>
              </w:numPr>
              <w:spacing w:before="0"/>
              <w:contextualSpacing/>
              <w:rPr>
                <w:b w:val="0"/>
                <w:bCs w:val="0"/>
                <w:color w:val="000000" w:themeColor="text1"/>
              </w:rPr>
            </w:pPr>
            <w:r w:rsidRPr="00437FB5">
              <w:rPr>
                <w:b w:val="0"/>
                <w:bCs w:val="0"/>
                <w:color w:val="000000" w:themeColor="text1"/>
              </w:rPr>
              <w:t>Bring men into intimate dialogues</w:t>
            </w:r>
          </w:p>
          <w:p w14:paraId="1F35D368" w14:textId="77777777" w:rsidR="009607CC" w:rsidRPr="00437FB5" w:rsidRDefault="009607CC" w:rsidP="008E06F4">
            <w:pPr>
              <w:rPr>
                <w:b w:val="0"/>
                <w:bCs w:val="0"/>
                <w:color w:val="000000" w:themeColor="text1"/>
              </w:rPr>
            </w:pPr>
          </w:p>
          <w:p w14:paraId="6EFBEEFB" w14:textId="77777777" w:rsidR="009607CC" w:rsidRPr="00437FB5" w:rsidRDefault="009607CC" w:rsidP="008E06F4">
            <w:pPr>
              <w:rPr>
                <w:b w:val="0"/>
                <w:bCs w:val="0"/>
                <w:color w:val="000000" w:themeColor="text1"/>
              </w:rPr>
            </w:pPr>
            <w:r w:rsidRPr="00437FB5">
              <w:rPr>
                <w:b w:val="0"/>
                <w:bCs w:val="0"/>
                <w:color w:val="000000" w:themeColor="text1"/>
              </w:rPr>
              <w:t>Flood underscores the importance of addressing men’s underlying emotions that contribute to resistance. Efforts “must acknowledge and work with men’s fear and anger, the emotional undercurrents of men’s defensiveness and hostility, and men’s feelings of shame or sadness as they begin to realise their roles in privileges and injustices” (201</w:t>
            </w:r>
            <w:r>
              <w:rPr>
                <w:b w:val="0"/>
                <w:bCs w:val="0"/>
                <w:color w:val="000000" w:themeColor="text1"/>
              </w:rPr>
              <w:t>9</w:t>
            </w:r>
            <w:r w:rsidRPr="00437FB5">
              <w:rPr>
                <w:b w:val="0"/>
                <w:bCs w:val="0"/>
                <w:color w:val="000000" w:themeColor="text1"/>
              </w:rPr>
              <w:t>, pp. 332-333).</w:t>
            </w:r>
            <w:r w:rsidRPr="00437FB5">
              <w:rPr>
                <w:color w:val="000000" w:themeColor="text1"/>
              </w:rPr>
              <w:t xml:space="preserve"> </w:t>
            </w:r>
          </w:p>
          <w:p w14:paraId="520C07D9" w14:textId="77777777" w:rsidR="009607CC" w:rsidRPr="00437FB5" w:rsidRDefault="009607CC" w:rsidP="008E06F4">
            <w:pPr>
              <w:rPr>
                <w:b w:val="0"/>
                <w:bCs w:val="0"/>
                <w:color w:val="000000" w:themeColor="text1"/>
              </w:rPr>
            </w:pPr>
            <w:r w:rsidRPr="00437FB5">
              <w:rPr>
                <w:b w:val="0"/>
                <w:bCs w:val="0"/>
                <w:color w:val="000000" w:themeColor="text1"/>
              </w:rPr>
              <w:t xml:space="preserve"> </w:t>
            </w:r>
          </w:p>
        </w:tc>
      </w:tr>
    </w:tbl>
    <w:p w14:paraId="0B9CDF75" w14:textId="0AB509EE" w:rsidR="009607CC" w:rsidRDefault="009607CC" w:rsidP="009607CC">
      <w:pPr>
        <w:sectPr w:rsidR="009607CC" w:rsidSect="009607CC">
          <w:type w:val="continuous"/>
          <w:pgSz w:w="11900" w:h="16850"/>
          <w:pgMar w:top="1340" w:right="1060" w:bottom="1020" w:left="860" w:header="567" w:footer="824" w:gutter="0"/>
          <w:cols w:space="720"/>
          <w:docGrid w:linePitch="299"/>
        </w:sectPr>
      </w:pPr>
    </w:p>
    <w:p w14:paraId="1C354DE5" w14:textId="45D8AD15" w:rsidR="009607CC" w:rsidRPr="007F50DB" w:rsidRDefault="009607CC" w:rsidP="007F50DB">
      <w:pPr>
        <w:pStyle w:val="Heading3"/>
        <w:tabs>
          <w:tab w:val="left" w:pos="1418"/>
        </w:tabs>
        <w:spacing w:before="0" w:after="120"/>
        <w:rPr>
          <w:rFonts w:eastAsia="Arial" w:cs="Arial"/>
          <w:bCs/>
          <w:sz w:val="32"/>
          <w:szCs w:val="24"/>
        </w:rPr>
      </w:pPr>
      <w:bookmarkStart w:id="136" w:name="_Toc87526342"/>
      <w:r w:rsidRPr="007F50DB">
        <w:rPr>
          <w:rFonts w:eastAsia="Arial" w:cs="Arial"/>
          <w:bCs/>
          <w:sz w:val="32"/>
          <w:szCs w:val="24"/>
        </w:rPr>
        <w:lastRenderedPageBreak/>
        <w:t>Practicing Curiosity</w:t>
      </w:r>
      <w:bookmarkEnd w:id="136"/>
    </w:p>
    <w:p w14:paraId="39030D6D" w14:textId="77777777" w:rsidR="009607CC" w:rsidRPr="00437FB5" w:rsidRDefault="009607CC" w:rsidP="009607CC">
      <w:r w:rsidRPr="00437FB5">
        <w:t>Responding to resistance requires patience, a curious practice, and effort to find points of connection. Being curious as to why someone is resisting, rather than just basing judgements on assumptions, can help find the right approach to respond. As one practitioner describes:</w:t>
      </w:r>
    </w:p>
    <w:p w14:paraId="4526EF8E" w14:textId="77777777" w:rsidR="009607CC" w:rsidRPr="001766A1" w:rsidRDefault="009607CC" w:rsidP="001766A1">
      <w:pPr>
        <w:spacing w:before="120" w:after="120"/>
        <w:ind w:left="284" w:right="522"/>
        <w:rPr>
          <w:rFonts w:eastAsia="Times New Roman" w:cs="Times New Roman"/>
          <w:i/>
          <w:iCs/>
          <w:color w:val="000000" w:themeColor="text1"/>
          <w:lang w:eastAsia="en-GB"/>
        </w:rPr>
      </w:pPr>
      <w:r w:rsidRPr="001766A1">
        <w:rPr>
          <w:rFonts w:eastAsia="Times New Roman" w:cs="Times New Roman"/>
          <w:i/>
          <w:iCs/>
          <w:color w:val="000000" w:themeColor="text1"/>
          <w:lang w:eastAsia="en-GB"/>
        </w:rPr>
        <w:t>We develop a threat mapping skill set that whenever someone is difficult or comes at you with hard energy you map them as part of the problem and try to manage them rather than going hold on what's, going on for that person right now…you need to hold your perspective, but you also need to look at where [their] learning journey is, how do I think of you, how do I think about the people watching the conversation and how do I think about myself.</w:t>
      </w:r>
      <w:r w:rsidRPr="007F50DB">
        <w:rPr>
          <w:rStyle w:val="FootnoteReference"/>
          <w:szCs w:val="24"/>
        </w:rPr>
        <w:footnoteReference w:id="34"/>
      </w:r>
      <w:r w:rsidRPr="007F50DB">
        <w:rPr>
          <w:rStyle w:val="FootnoteReference"/>
          <w:szCs w:val="24"/>
        </w:rPr>
        <w:t xml:space="preserve"> </w:t>
      </w:r>
    </w:p>
    <w:p w14:paraId="01C0F614" w14:textId="5E4AB19F" w:rsidR="009607CC" w:rsidRPr="00437FB5" w:rsidRDefault="009607CC" w:rsidP="009607CC">
      <w:r w:rsidRPr="00437FB5">
        <w:t xml:space="preserve">Maintaining a curious perspective as to why someone is displaying resistance and using open ended question such as “Can you tell me more about this” to seek clarification, can often prompt those resisting to think more about the reasons why and counter some of that resistance (Women’s Health West 2015). Other approaches could be written self-assessments of common behaviours that appear benign to then prompt discussion of how they </w:t>
      </w:r>
      <w:proofErr w:type="gramStart"/>
      <w:r w:rsidRPr="00437FB5">
        <w:t>actually form</w:t>
      </w:r>
      <w:proofErr w:type="gramEnd"/>
      <w:r w:rsidRPr="00437FB5">
        <w:t xml:space="preserve"> part of the gendered drivers of violence (Petty et al., 2018).</w:t>
      </w:r>
      <w:r>
        <w:t xml:space="preserve"> </w:t>
      </w:r>
      <w:r w:rsidRPr="00437FB5">
        <w:t xml:space="preserve">Fundamentally, conversations must be supported with correct knowledge, </w:t>
      </w:r>
      <w:proofErr w:type="gramStart"/>
      <w:r w:rsidRPr="00437FB5">
        <w:t>information</w:t>
      </w:r>
      <w:proofErr w:type="gramEnd"/>
      <w:r w:rsidRPr="00437FB5">
        <w:t xml:space="preserve"> and data</w:t>
      </w:r>
      <w:r>
        <w:t xml:space="preserve">—why </w:t>
      </w:r>
      <w:r w:rsidRPr="00437FB5">
        <w:t>practi</w:t>
      </w:r>
      <w:r w:rsidR="00863974">
        <w:t>s</w:t>
      </w:r>
      <w:r w:rsidRPr="00437FB5">
        <w:t>ing is so important</w:t>
      </w:r>
      <w:r>
        <w:t xml:space="preserve">—to </w:t>
      </w:r>
      <w:r w:rsidRPr="00437FB5">
        <w:t>be able to minimise and reduce resistance.</w:t>
      </w:r>
    </w:p>
    <w:p w14:paraId="62AD086C" w14:textId="77777777" w:rsidR="009607CC" w:rsidRPr="00437FB5" w:rsidRDefault="009607CC" w:rsidP="009607CC"/>
    <w:p w14:paraId="2329090E" w14:textId="7F312889" w:rsidR="009607CC" w:rsidRPr="00437FB5" w:rsidRDefault="009607CC" w:rsidP="009607CC">
      <w:r w:rsidRPr="00437FB5">
        <w:t xml:space="preserve">Being curious about people means recognising that individuals approach primary prevention with their own </w:t>
      </w:r>
      <w:r w:rsidRPr="00437FB5">
        <w:t>experiences (both related and unrelated to violence) (</w:t>
      </w:r>
      <w:r>
        <w:t>Flood et al.,</w:t>
      </w:r>
      <w:r w:rsidRPr="00437FB5">
        <w:t xml:space="preserve"> 2021). This can be supported by several informal strategies that can lead to unexpected outcomes. For example, as another practitioner states:</w:t>
      </w:r>
    </w:p>
    <w:p w14:paraId="669FF33F" w14:textId="77777777" w:rsidR="009607CC" w:rsidRPr="001766A1" w:rsidRDefault="009607CC" w:rsidP="001766A1">
      <w:pPr>
        <w:spacing w:before="120" w:after="120"/>
        <w:ind w:left="284" w:right="522"/>
        <w:rPr>
          <w:rFonts w:eastAsia="Times New Roman" w:cs="Times New Roman"/>
          <w:i/>
          <w:iCs/>
          <w:color w:val="000000" w:themeColor="text1"/>
          <w:lang w:eastAsia="en-GB"/>
        </w:rPr>
      </w:pPr>
      <w:r w:rsidRPr="001766A1">
        <w:rPr>
          <w:rFonts w:eastAsia="Times New Roman" w:cs="Times New Roman"/>
          <w:i/>
          <w:iCs/>
          <w:color w:val="000000" w:themeColor="text1"/>
          <w:lang w:eastAsia="en-GB"/>
        </w:rPr>
        <w:t xml:space="preserve">I remember I was doing a training one time and there's just someone, and she was so frustrating, and I could easily go she's so resistant, she's so annoying. [But] one of my little strategies is I always go to the person I find the most frustrating in the lunch break and make a point to go and talk to them and ask how's your day going. I was talking to this </w:t>
      </w:r>
      <w:proofErr w:type="gramStart"/>
      <w:r w:rsidRPr="001766A1">
        <w:rPr>
          <w:rFonts w:eastAsia="Times New Roman" w:cs="Times New Roman"/>
          <w:i/>
          <w:iCs/>
          <w:color w:val="000000" w:themeColor="text1"/>
          <w:lang w:eastAsia="en-GB"/>
        </w:rPr>
        <w:t>person</w:t>
      </w:r>
      <w:proofErr w:type="gramEnd"/>
      <w:r w:rsidRPr="001766A1">
        <w:rPr>
          <w:rFonts w:eastAsia="Times New Roman" w:cs="Times New Roman"/>
          <w:i/>
          <w:iCs/>
          <w:color w:val="000000" w:themeColor="text1"/>
          <w:lang w:eastAsia="en-GB"/>
        </w:rPr>
        <w:t xml:space="preserve"> and I didn't say anything about what happened in the room, I just asked “how’s your morning going” and she just had a terrible day, a terrible morning… in the end it had nothing to do with the training but I could have easily gone, “urgh, problematic” and the cycle [continues].</w:t>
      </w:r>
      <w:r w:rsidRPr="007F50DB">
        <w:rPr>
          <w:rStyle w:val="FootnoteReference"/>
          <w:szCs w:val="24"/>
        </w:rPr>
        <w:footnoteReference w:id="35"/>
      </w:r>
      <w:r w:rsidRPr="007F50DB">
        <w:rPr>
          <w:rStyle w:val="FootnoteReference"/>
          <w:szCs w:val="24"/>
        </w:rPr>
        <w:t xml:space="preserve"> </w:t>
      </w:r>
    </w:p>
    <w:p w14:paraId="3C988340" w14:textId="77777777" w:rsidR="009607CC" w:rsidRDefault="009607CC" w:rsidP="009607CC">
      <w:r w:rsidRPr="00437FB5">
        <w:t>These informal strategies can go a long way to challenging our own assumptions about someone’s resistance and connecting with them.</w:t>
      </w:r>
    </w:p>
    <w:p w14:paraId="788EE529" w14:textId="77777777" w:rsidR="009607CC" w:rsidRDefault="009607CC" w:rsidP="009607CC">
      <w:pPr>
        <w:rPr>
          <w:color w:val="000000" w:themeColor="text1"/>
        </w:rPr>
      </w:pPr>
    </w:p>
    <w:p w14:paraId="4EAE628A" w14:textId="77777777" w:rsidR="009607CC" w:rsidRDefault="009607CC" w:rsidP="00B01F9C">
      <w:pPr>
        <w:rPr>
          <w:color w:val="000000" w:themeColor="text1"/>
        </w:rPr>
        <w:sectPr w:rsidR="009607CC" w:rsidSect="009607CC">
          <w:pgSz w:w="11900" w:h="16850"/>
          <w:pgMar w:top="1340" w:right="1060" w:bottom="1020" w:left="860" w:header="567" w:footer="824" w:gutter="0"/>
          <w:cols w:num="2" w:space="720"/>
          <w:docGrid w:linePitch="299"/>
        </w:sectPr>
      </w:pPr>
    </w:p>
    <w:tbl>
      <w:tblPr>
        <w:tblStyle w:val="TableGrid"/>
        <w:tblW w:w="10050" w:type="dxa"/>
        <w:tblLook w:val="04A0" w:firstRow="1" w:lastRow="0" w:firstColumn="1" w:lastColumn="0" w:noHBand="0" w:noVBand="1"/>
      </w:tblPr>
      <w:tblGrid>
        <w:gridCol w:w="10050"/>
      </w:tblGrid>
      <w:tr w:rsidR="009607CC" w14:paraId="626E5047" w14:textId="77777777" w:rsidTr="009607CC">
        <w:trPr>
          <w:cnfStyle w:val="100000000000" w:firstRow="1" w:lastRow="0" w:firstColumn="0" w:lastColumn="0" w:oddVBand="0" w:evenVBand="0" w:oddHBand="0" w:evenHBand="0" w:firstRowFirstColumn="0" w:firstRowLastColumn="0" w:lastRowFirstColumn="0" w:lastRowLastColumn="0"/>
        </w:trPr>
        <w:tc>
          <w:tcPr>
            <w:tcW w:w="1005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E5DFEC" w:themeFill="accent4" w:themeFillTint="33"/>
          </w:tcPr>
          <w:p w14:paraId="2B3AD7B8" w14:textId="2D64D6C3" w:rsidR="009607CC" w:rsidRPr="007F50DB" w:rsidRDefault="009607CC" w:rsidP="007F50DB">
            <w:pPr>
              <w:pStyle w:val="Caption"/>
              <w:widowControl/>
              <w:autoSpaceDE/>
              <w:autoSpaceDN/>
              <w:rPr>
                <w:b w:val="0"/>
                <w:color w:val="F79646" w:themeColor="accent6"/>
                <w:sz w:val="22"/>
                <w:szCs w:val="22"/>
              </w:rPr>
            </w:pPr>
            <w:bookmarkStart w:id="137" w:name="_Toc75940833"/>
            <w:r w:rsidRPr="007F50DB">
              <w:rPr>
                <w:color w:val="F79646" w:themeColor="accent6"/>
                <w:sz w:val="22"/>
                <w:szCs w:val="22"/>
              </w:rPr>
              <w:lastRenderedPageBreak/>
              <w:t xml:space="preserve">Highlight Box </w:t>
            </w:r>
            <w:r w:rsidRPr="007F50DB">
              <w:rPr>
                <w:color w:val="F79646" w:themeColor="accent6"/>
                <w:sz w:val="22"/>
                <w:szCs w:val="22"/>
              </w:rPr>
              <w:fldChar w:fldCharType="begin"/>
            </w:r>
            <w:r w:rsidRPr="007F50DB">
              <w:rPr>
                <w:color w:val="F79646" w:themeColor="accent6"/>
                <w:sz w:val="22"/>
                <w:szCs w:val="22"/>
              </w:rPr>
              <w:instrText xml:space="preserve"> SEQ Highlight_Box \* ARABIC </w:instrText>
            </w:r>
            <w:r w:rsidRPr="007F50DB">
              <w:rPr>
                <w:color w:val="F79646" w:themeColor="accent6"/>
                <w:sz w:val="22"/>
                <w:szCs w:val="22"/>
              </w:rPr>
              <w:fldChar w:fldCharType="separate"/>
            </w:r>
            <w:r w:rsidR="00D93EBF">
              <w:rPr>
                <w:noProof/>
                <w:color w:val="F79646" w:themeColor="accent6"/>
                <w:sz w:val="22"/>
                <w:szCs w:val="22"/>
              </w:rPr>
              <w:t>10</w:t>
            </w:r>
            <w:r w:rsidRPr="007F50DB">
              <w:rPr>
                <w:color w:val="F79646" w:themeColor="accent6"/>
                <w:sz w:val="22"/>
                <w:szCs w:val="22"/>
              </w:rPr>
              <w:fldChar w:fldCharType="end"/>
            </w:r>
            <w:r w:rsidRPr="007F50DB">
              <w:rPr>
                <w:color w:val="F79646" w:themeColor="accent6"/>
                <w:sz w:val="22"/>
                <w:szCs w:val="22"/>
              </w:rPr>
              <w:t>: Tips for practicing curiosity</w:t>
            </w:r>
            <w:bookmarkEnd w:id="137"/>
          </w:p>
          <w:p w14:paraId="0B7281C4" w14:textId="77777777" w:rsidR="009607CC" w:rsidRPr="009607CC" w:rsidRDefault="009607CC" w:rsidP="009607CC">
            <w:pPr>
              <w:pStyle w:val="ListParagraph"/>
              <w:keepNext/>
              <w:widowControl/>
              <w:numPr>
                <w:ilvl w:val="0"/>
                <w:numId w:val="26"/>
              </w:numPr>
              <w:autoSpaceDE/>
              <w:autoSpaceDN/>
              <w:spacing w:before="0" w:after="120"/>
              <w:ind w:left="714" w:hanging="357"/>
              <w:rPr>
                <w:b w:val="0"/>
                <w:bCs/>
              </w:rPr>
            </w:pPr>
            <w:r w:rsidRPr="009607CC">
              <w:rPr>
                <w:b w:val="0"/>
                <w:bCs/>
              </w:rPr>
              <w:t xml:space="preserve">Individual people come to primary prevention of violence against women with potential experiences of violence. Illustrating the ways violence against women is a societal and structural problem is important to counter the individualisation of perpetration of violence. </w:t>
            </w:r>
          </w:p>
          <w:p w14:paraId="42E90077" w14:textId="1748949D" w:rsidR="009607CC" w:rsidRPr="009607CC" w:rsidRDefault="009607CC" w:rsidP="009607CC">
            <w:pPr>
              <w:pStyle w:val="ListParagraph"/>
              <w:keepNext/>
              <w:widowControl/>
              <w:numPr>
                <w:ilvl w:val="0"/>
                <w:numId w:val="26"/>
              </w:numPr>
              <w:autoSpaceDE/>
              <w:autoSpaceDN/>
              <w:spacing w:before="0" w:after="120"/>
              <w:ind w:left="714" w:hanging="357"/>
              <w:rPr>
                <w:b w:val="0"/>
                <w:bCs/>
              </w:rPr>
            </w:pPr>
            <w:r w:rsidRPr="009607CC">
              <w:rPr>
                <w:b w:val="0"/>
                <w:bCs/>
              </w:rPr>
              <w:t>Accountability to women and victim-survivors is paramount. Understanding the gendered drivers of violence and being confident and authoritative about the impacts they have on women and men’s lives is important to counter resistance. This can be achieved through practi</w:t>
            </w:r>
            <w:r w:rsidR="00863974">
              <w:rPr>
                <w:b w:val="0"/>
                <w:bCs/>
              </w:rPr>
              <w:t>s</w:t>
            </w:r>
            <w:r w:rsidRPr="009607CC">
              <w:rPr>
                <w:b w:val="0"/>
                <w:bCs/>
              </w:rPr>
              <w:t xml:space="preserve">ing talking about primary prevention by role playing scenarios of resistance.  </w:t>
            </w:r>
          </w:p>
          <w:p w14:paraId="7FC39AE9" w14:textId="27B2BDE2" w:rsidR="009607CC" w:rsidRPr="009607CC" w:rsidRDefault="009607CC" w:rsidP="009607CC">
            <w:pPr>
              <w:pStyle w:val="ListParagraph"/>
              <w:keepNext/>
              <w:widowControl/>
              <w:numPr>
                <w:ilvl w:val="0"/>
                <w:numId w:val="26"/>
              </w:numPr>
              <w:autoSpaceDE/>
              <w:autoSpaceDN/>
              <w:spacing w:before="0" w:after="120"/>
              <w:ind w:left="714" w:hanging="357"/>
              <w:rPr>
                <w:b w:val="0"/>
                <w:bCs/>
              </w:rPr>
            </w:pPr>
            <w:r w:rsidRPr="009607CC">
              <w:rPr>
                <w:b w:val="0"/>
                <w:bCs/>
              </w:rPr>
              <w:t xml:space="preserve">While being </w:t>
            </w:r>
            <w:r w:rsidR="00863974">
              <w:rPr>
                <w:b w:val="0"/>
                <w:bCs/>
              </w:rPr>
              <w:t xml:space="preserve">focusing on </w:t>
            </w:r>
            <w:r w:rsidRPr="009607CC">
              <w:rPr>
                <w:b w:val="0"/>
                <w:bCs/>
              </w:rPr>
              <w:t xml:space="preserve">the gender drivers of violence, it is important to remember that people are whole persons rather than a one dimensional ‘resistant person’ only. </w:t>
            </w:r>
          </w:p>
          <w:p w14:paraId="0E1ADA01" w14:textId="77777777" w:rsidR="009607CC" w:rsidRPr="009607CC" w:rsidRDefault="009607CC" w:rsidP="009607CC">
            <w:pPr>
              <w:pStyle w:val="ListParagraph"/>
              <w:keepNext/>
              <w:widowControl/>
              <w:numPr>
                <w:ilvl w:val="0"/>
                <w:numId w:val="26"/>
              </w:numPr>
              <w:autoSpaceDE/>
              <w:autoSpaceDN/>
              <w:spacing w:before="0" w:after="120"/>
              <w:ind w:left="714" w:hanging="357"/>
              <w:rPr>
                <w:b w:val="0"/>
                <w:bCs/>
              </w:rPr>
            </w:pPr>
            <w:r w:rsidRPr="009607CC">
              <w:rPr>
                <w:b w:val="0"/>
                <w:bCs/>
              </w:rPr>
              <w:t>Approaching resistant people informally (in appropriate ways) may help in understanding the reasons for resistance.</w:t>
            </w:r>
          </w:p>
          <w:p w14:paraId="372A077E" w14:textId="77777777" w:rsidR="009607CC" w:rsidRPr="002924BA" w:rsidRDefault="009607CC" w:rsidP="009607CC">
            <w:pPr>
              <w:pStyle w:val="ListParagraph"/>
              <w:keepNext/>
              <w:widowControl/>
              <w:numPr>
                <w:ilvl w:val="0"/>
                <w:numId w:val="26"/>
              </w:numPr>
              <w:autoSpaceDE/>
              <w:autoSpaceDN/>
              <w:spacing w:before="0" w:after="120"/>
              <w:ind w:left="714" w:hanging="357"/>
            </w:pPr>
            <w:r w:rsidRPr="009607CC">
              <w:rPr>
                <w:b w:val="0"/>
                <w:bCs/>
              </w:rPr>
              <w:t>See Highlight Box 9 for useful advice outlined by Flood for content and processes to deal with resistance.</w:t>
            </w:r>
            <w:r>
              <w:t xml:space="preserve"> </w:t>
            </w:r>
          </w:p>
        </w:tc>
      </w:tr>
    </w:tbl>
    <w:p w14:paraId="32F3AA06" w14:textId="77777777" w:rsidR="007F50DB" w:rsidRPr="007F50DB" w:rsidRDefault="007F50DB" w:rsidP="007F50DB">
      <w:pPr>
        <w:pStyle w:val="Heading3"/>
        <w:tabs>
          <w:tab w:val="left" w:pos="1418"/>
        </w:tabs>
        <w:spacing w:before="0" w:after="120"/>
        <w:rPr>
          <w:bCs/>
          <w:sz w:val="32"/>
          <w:szCs w:val="24"/>
        </w:rPr>
        <w:sectPr w:rsidR="007F50DB" w:rsidRPr="007F50DB" w:rsidSect="009607CC">
          <w:pgSz w:w="11900" w:h="16850"/>
          <w:pgMar w:top="1340" w:right="1060" w:bottom="1020" w:left="860" w:header="567" w:footer="824" w:gutter="0"/>
          <w:cols w:space="720"/>
          <w:docGrid w:linePitch="299"/>
        </w:sectPr>
      </w:pPr>
    </w:p>
    <w:p w14:paraId="351F8E56" w14:textId="0ABCDF6E" w:rsidR="009607CC" w:rsidRPr="007F50DB" w:rsidRDefault="009607CC" w:rsidP="007F50DB">
      <w:pPr>
        <w:pStyle w:val="Heading3"/>
        <w:tabs>
          <w:tab w:val="left" w:pos="1418"/>
        </w:tabs>
        <w:spacing w:before="0" w:after="120"/>
        <w:rPr>
          <w:rFonts w:eastAsia="Arial" w:cs="Arial"/>
          <w:bCs/>
          <w:sz w:val="32"/>
          <w:szCs w:val="24"/>
        </w:rPr>
      </w:pPr>
      <w:bookmarkStart w:id="138" w:name="_Toc87526343"/>
      <w:r w:rsidRPr="007F50DB">
        <w:rPr>
          <w:rFonts w:eastAsia="Arial" w:cs="Arial"/>
          <w:bCs/>
          <w:sz w:val="32"/>
          <w:szCs w:val="24"/>
        </w:rPr>
        <w:t>Finding Connections</w:t>
      </w:r>
      <w:bookmarkEnd w:id="138"/>
    </w:p>
    <w:p w14:paraId="0D525EDD" w14:textId="77777777" w:rsidR="009607CC" w:rsidRDefault="009607CC" w:rsidP="009607CC">
      <w:r w:rsidRPr="00734779">
        <w:t>Finding points of connection means establishing shared values, experiences, forms of privilege and discrimination. Many privileged groups don’t see themselves as such (see Section 2.1).  Depending on the context, activities such as privilege walks can be helpful in physically demonstrating the ways in which some people and groups are more privileged than others (Flood 201</w:t>
      </w:r>
      <w:r>
        <w:t>9</w:t>
      </w:r>
      <w:r w:rsidRPr="00734779">
        <w:t xml:space="preserve">, p. 329). Values mapping is another useful tool to identify what is shared between people rather than what divides them. </w:t>
      </w:r>
    </w:p>
    <w:p w14:paraId="2C0DF118" w14:textId="77777777" w:rsidR="009607CC" w:rsidRDefault="009607CC" w:rsidP="009607CC"/>
    <w:p w14:paraId="67430094" w14:textId="7FB81655" w:rsidR="009607CC" w:rsidRDefault="009607CC" w:rsidP="009607CC">
      <w:r w:rsidRPr="00734779">
        <w:t xml:space="preserve">For example, in the case of unions, practitioners delivering prevention of violence against women training in workplaces would share their own experiences of joining a union. The trainees would then do the same to build understanding. By encouraging conversations around the values that drive unions such as justice, fairness, ‘no one being left behind’, and safety at work, it would build a foundation to connect such </w:t>
      </w:r>
      <w:r w:rsidRPr="00734779">
        <w:t xml:space="preserve">union-based values to gender equality. </w:t>
      </w:r>
    </w:p>
    <w:p w14:paraId="35F5664C" w14:textId="77777777" w:rsidR="009607CC" w:rsidRDefault="009607CC" w:rsidP="009607CC"/>
    <w:p w14:paraId="30B5E3C9" w14:textId="62513003" w:rsidR="009607CC" w:rsidRDefault="009607CC" w:rsidP="009607CC">
      <w:r w:rsidRPr="00734779">
        <w:t xml:space="preserve">A similar approach </w:t>
      </w:r>
      <w:r>
        <w:t>can be</w:t>
      </w:r>
      <w:r w:rsidRPr="00734779">
        <w:t xml:space="preserve"> taken with respect to stereotypes, where participants were asked to reflect on when they are stereotyped</w:t>
      </w:r>
      <w:r>
        <w:t xml:space="preserve">, </w:t>
      </w:r>
      <w:r w:rsidRPr="00734779">
        <w:t xml:space="preserve">as unionists </w:t>
      </w:r>
      <w:r>
        <w:t>as</w:t>
      </w:r>
      <w:r w:rsidRPr="00734779">
        <w:t xml:space="preserve"> corrupt</w:t>
      </w:r>
      <w:r>
        <w:t xml:space="preserve"> or </w:t>
      </w:r>
      <w:r w:rsidRPr="00734779">
        <w:t>thuggis</w:t>
      </w:r>
      <w:r>
        <w:t xml:space="preserve">h, </w:t>
      </w:r>
      <w:r w:rsidRPr="00734779">
        <w:t>and how they could relate those feelings of frustration and hurt to others</w:t>
      </w:r>
      <w:r w:rsidR="008D63F4">
        <w:t xml:space="preserve"> stereotyped negatively</w:t>
      </w:r>
      <w:r w:rsidRPr="00734779">
        <w:t xml:space="preserve">. While union membership is optional and does not have the same consequences </w:t>
      </w:r>
      <w:r>
        <w:t xml:space="preserve">or influences </w:t>
      </w:r>
      <w:r w:rsidRPr="00734779">
        <w:t xml:space="preserve">on peoples’ lives such as gender, it is assumed that by building empathy, it would make it harder to justify resistance. </w:t>
      </w:r>
    </w:p>
    <w:p w14:paraId="3DCC8A6F" w14:textId="77777777" w:rsidR="009607CC" w:rsidRDefault="009607CC" w:rsidP="009607CC"/>
    <w:p w14:paraId="5034885D" w14:textId="4FB1C533" w:rsidR="009607CC" w:rsidRPr="00437FB5" w:rsidRDefault="009607CC" w:rsidP="009607CC">
      <w:pPr>
        <w:rPr>
          <w:lang w:eastAsia="en-GB"/>
        </w:rPr>
      </w:pPr>
      <w:r w:rsidRPr="00734779">
        <w:t>As Pease (2012, p. 138) explains, “</w:t>
      </w:r>
      <w:r w:rsidRPr="00734779">
        <w:rPr>
          <w:lang w:eastAsia="en-GB"/>
        </w:rPr>
        <w:t xml:space="preserve">When men are emotionally engaged in the injustices experienced by women, they are more likely to interrogate their own complicity in women’s oppression and to recognise their responsibility to challenge their own unearned advantages”. </w:t>
      </w:r>
      <w:r w:rsidRPr="00437FB5">
        <w:t xml:space="preserve">Fundamentally, even while being curious and establishing shared connections as access points to persuade individuals about the necessity of primary prevention, </w:t>
      </w:r>
      <w:r w:rsidRPr="00437FB5">
        <w:lastRenderedPageBreak/>
        <w:t xml:space="preserve">care must be taken to continuously centre the gendered drivers of violence against women and not excuse discriminatory norms, </w:t>
      </w:r>
      <w:proofErr w:type="gramStart"/>
      <w:r w:rsidRPr="00437FB5">
        <w:t>practices</w:t>
      </w:r>
      <w:proofErr w:type="gramEnd"/>
      <w:r w:rsidRPr="00437FB5">
        <w:t xml:space="preserve"> and structures. </w:t>
      </w:r>
      <w:r w:rsidRPr="00437FB5">
        <w:rPr>
          <w:lang w:eastAsia="en-GB"/>
        </w:rPr>
        <w:t xml:space="preserve">Even while minimising and responding to resistance and backlash, “women and girls’ empowerment must remain central to prevention activity” (Our Watch 2015, p. 28). </w:t>
      </w:r>
    </w:p>
    <w:p w14:paraId="0A602A0F" w14:textId="77777777" w:rsidR="009607CC" w:rsidRDefault="009607CC" w:rsidP="009607CC">
      <w:pPr>
        <w:rPr>
          <w:lang w:eastAsia="en-GB"/>
        </w:rPr>
      </w:pPr>
    </w:p>
    <w:p w14:paraId="263A45DC" w14:textId="1A309759" w:rsidR="009607CC" w:rsidRDefault="00B270AE" w:rsidP="009607CC">
      <w:pPr>
        <w:rPr>
          <w:lang w:eastAsia="en-GB"/>
        </w:rPr>
      </w:pPr>
      <w:r>
        <w:rPr>
          <w:lang w:eastAsia="en-GB"/>
        </w:rPr>
        <w:br w:type="column"/>
      </w:r>
      <w:r w:rsidR="009607CC" w:rsidRPr="00437FB5">
        <w:rPr>
          <w:lang w:eastAsia="en-GB"/>
        </w:rPr>
        <w:t xml:space="preserve">At a broader institutional and organisational level, strategies to minimise institutional resistance can also be used to respond, such as fostering leadership endorsement and buy in, legitimising primary prevention as a core part of the institutional and organisational architecture, and using legal and policy levers to advocate for the need for primary prevention interventions. In Part 4, an approach to monitoring resistance and backlash was outlined, which seeks to capture the multiple and dynamic ways resistance manifests at institutional, organisational and individual levels. </w:t>
      </w:r>
    </w:p>
    <w:p w14:paraId="1ADC6090" w14:textId="77777777" w:rsidR="00B270AE" w:rsidRDefault="00B270AE" w:rsidP="00B01F9C">
      <w:pPr>
        <w:rPr>
          <w:color w:val="000000" w:themeColor="text1"/>
        </w:rPr>
        <w:sectPr w:rsidR="00B270AE" w:rsidSect="009607CC">
          <w:type w:val="continuous"/>
          <w:pgSz w:w="11900" w:h="16850"/>
          <w:pgMar w:top="1340" w:right="1060" w:bottom="1020" w:left="860" w:header="567" w:footer="824" w:gutter="0"/>
          <w:cols w:num="2" w:space="720"/>
          <w:docGrid w:linePitch="299"/>
        </w:sectPr>
      </w:pPr>
    </w:p>
    <w:p w14:paraId="58F74B5E" w14:textId="13A77912" w:rsidR="009607CC" w:rsidRDefault="009607CC" w:rsidP="00B01F9C">
      <w:pPr>
        <w:rPr>
          <w:color w:val="000000" w:themeColor="text1"/>
        </w:rPr>
      </w:pPr>
    </w:p>
    <w:tbl>
      <w:tblPr>
        <w:tblStyle w:val="TableGrid"/>
        <w:tblW w:w="10050" w:type="dxa"/>
        <w:tblLook w:val="04A0" w:firstRow="1" w:lastRow="0" w:firstColumn="1" w:lastColumn="0" w:noHBand="0" w:noVBand="1"/>
      </w:tblPr>
      <w:tblGrid>
        <w:gridCol w:w="10050"/>
      </w:tblGrid>
      <w:tr w:rsidR="00B270AE" w14:paraId="18EE7DFA" w14:textId="77777777" w:rsidTr="00B270AE">
        <w:trPr>
          <w:cnfStyle w:val="100000000000" w:firstRow="1" w:lastRow="0" w:firstColumn="0" w:lastColumn="0" w:oddVBand="0" w:evenVBand="0" w:oddHBand="0" w:evenHBand="0" w:firstRowFirstColumn="0" w:firstRowLastColumn="0" w:lastRowFirstColumn="0" w:lastRowLastColumn="0"/>
        </w:trPr>
        <w:tc>
          <w:tcPr>
            <w:tcW w:w="1005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E5DFEC" w:themeFill="accent4" w:themeFillTint="33"/>
          </w:tcPr>
          <w:p w14:paraId="21DD8136" w14:textId="6B625936" w:rsidR="00B270AE" w:rsidRPr="007F50DB" w:rsidRDefault="00B270AE" w:rsidP="007F50DB">
            <w:pPr>
              <w:pStyle w:val="Caption"/>
              <w:widowControl/>
              <w:autoSpaceDE/>
              <w:autoSpaceDN/>
              <w:rPr>
                <w:b w:val="0"/>
                <w:color w:val="F79646" w:themeColor="accent6"/>
                <w:sz w:val="22"/>
                <w:szCs w:val="22"/>
              </w:rPr>
            </w:pPr>
            <w:bookmarkStart w:id="139" w:name="_Toc75940834"/>
            <w:r w:rsidRPr="007F50DB">
              <w:rPr>
                <w:color w:val="F79646" w:themeColor="accent6"/>
                <w:sz w:val="22"/>
                <w:szCs w:val="22"/>
              </w:rPr>
              <w:t xml:space="preserve">Highlight Box </w:t>
            </w:r>
            <w:r w:rsidRPr="007F50DB">
              <w:rPr>
                <w:color w:val="F79646" w:themeColor="accent6"/>
                <w:sz w:val="22"/>
                <w:szCs w:val="22"/>
              </w:rPr>
              <w:fldChar w:fldCharType="begin"/>
            </w:r>
            <w:r w:rsidRPr="007F50DB">
              <w:rPr>
                <w:color w:val="F79646" w:themeColor="accent6"/>
                <w:sz w:val="22"/>
                <w:szCs w:val="22"/>
              </w:rPr>
              <w:instrText xml:space="preserve"> SEQ Highlight_Box \* ARABIC </w:instrText>
            </w:r>
            <w:r w:rsidRPr="007F50DB">
              <w:rPr>
                <w:color w:val="F79646" w:themeColor="accent6"/>
                <w:sz w:val="22"/>
                <w:szCs w:val="22"/>
              </w:rPr>
              <w:fldChar w:fldCharType="separate"/>
            </w:r>
            <w:r w:rsidR="00D93EBF">
              <w:rPr>
                <w:noProof/>
                <w:color w:val="F79646" w:themeColor="accent6"/>
                <w:sz w:val="22"/>
                <w:szCs w:val="22"/>
              </w:rPr>
              <w:t>11</w:t>
            </w:r>
            <w:r w:rsidRPr="007F50DB">
              <w:rPr>
                <w:color w:val="F79646" w:themeColor="accent6"/>
                <w:sz w:val="22"/>
                <w:szCs w:val="22"/>
              </w:rPr>
              <w:fldChar w:fldCharType="end"/>
            </w:r>
            <w:r w:rsidRPr="007F50DB">
              <w:rPr>
                <w:color w:val="F79646" w:themeColor="accent6"/>
                <w:sz w:val="22"/>
                <w:szCs w:val="22"/>
              </w:rPr>
              <w:t>: Tips for finding connections</w:t>
            </w:r>
            <w:bookmarkEnd w:id="139"/>
          </w:p>
          <w:p w14:paraId="49B2C11E" w14:textId="12E92C1C" w:rsidR="00B270AE" w:rsidRPr="00B270AE" w:rsidRDefault="00B270AE" w:rsidP="00B270AE">
            <w:pPr>
              <w:pStyle w:val="ListParagraph"/>
              <w:keepNext/>
              <w:widowControl/>
              <w:numPr>
                <w:ilvl w:val="0"/>
                <w:numId w:val="26"/>
              </w:numPr>
              <w:autoSpaceDE/>
              <w:autoSpaceDN/>
              <w:spacing w:before="0" w:after="120"/>
              <w:ind w:left="714" w:hanging="357"/>
              <w:rPr>
                <w:b w:val="0"/>
                <w:bCs/>
              </w:rPr>
            </w:pPr>
            <w:r w:rsidRPr="00B270AE">
              <w:rPr>
                <w:b w:val="0"/>
                <w:bCs/>
              </w:rPr>
              <w:t xml:space="preserve">Build understanding in what drives the individual or collective in terms of shared values and work ethic and demonstrate how violence prevention and gender equality corresponds with that: </w:t>
            </w:r>
            <w:r w:rsidRPr="00EE6BD8">
              <w:rPr>
                <w:b w:val="0"/>
                <w:bCs/>
              </w:rPr>
              <w:t xml:space="preserve">See </w:t>
            </w:r>
            <w:r w:rsidRPr="00EE6BD8">
              <w:rPr>
                <w:bCs/>
              </w:rPr>
              <w:t xml:space="preserve">Box </w:t>
            </w:r>
            <w:r w:rsidR="00EE6BD8" w:rsidRPr="00EE6BD8">
              <w:rPr>
                <w:bCs/>
              </w:rPr>
              <w:t>9</w:t>
            </w:r>
            <w:r w:rsidRPr="00EE6BD8">
              <w:rPr>
                <w:b w:val="0"/>
                <w:bCs/>
              </w:rPr>
              <w:t xml:space="preserve"> on the different ways offered by Flood in approaching this, as well as Vic Health’s messaging guides listed in </w:t>
            </w:r>
            <w:r w:rsidRPr="00EE6BD8">
              <w:rPr>
                <w:bCs/>
              </w:rPr>
              <w:t xml:space="preserve">Box </w:t>
            </w:r>
            <w:r w:rsidR="00EE6BD8" w:rsidRPr="00EE6BD8">
              <w:rPr>
                <w:bCs/>
              </w:rPr>
              <w:t>12</w:t>
            </w:r>
            <w:r w:rsidRPr="00B270AE">
              <w:rPr>
                <w:b w:val="0"/>
                <w:bCs/>
              </w:rPr>
              <w:t>.</w:t>
            </w:r>
          </w:p>
          <w:p w14:paraId="69A78732" w14:textId="77777777" w:rsidR="00B270AE" w:rsidRPr="00B270AE" w:rsidRDefault="00B270AE" w:rsidP="00B270AE">
            <w:pPr>
              <w:pStyle w:val="ListParagraph"/>
              <w:keepNext/>
              <w:widowControl/>
              <w:numPr>
                <w:ilvl w:val="0"/>
                <w:numId w:val="26"/>
              </w:numPr>
              <w:autoSpaceDE/>
              <w:autoSpaceDN/>
              <w:spacing w:before="0" w:after="120"/>
              <w:ind w:left="714" w:hanging="357"/>
              <w:rPr>
                <w:b w:val="0"/>
                <w:bCs/>
              </w:rPr>
            </w:pPr>
            <w:r w:rsidRPr="00B270AE">
              <w:rPr>
                <w:b w:val="0"/>
                <w:bCs/>
              </w:rPr>
              <w:t>Demonstrate how other processes of change have been accepted and integrated in the institution and organisation and draw comparisons.</w:t>
            </w:r>
          </w:p>
          <w:p w14:paraId="5AFA6733" w14:textId="04E94D56" w:rsidR="00B270AE" w:rsidRPr="00B270AE" w:rsidRDefault="00B270AE" w:rsidP="00B270AE">
            <w:pPr>
              <w:pStyle w:val="ListParagraph"/>
              <w:keepNext/>
              <w:widowControl/>
              <w:numPr>
                <w:ilvl w:val="0"/>
                <w:numId w:val="26"/>
              </w:numPr>
              <w:autoSpaceDE/>
              <w:autoSpaceDN/>
              <w:spacing w:before="0" w:after="120"/>
              <w:ind w:left="714" w:hanging="357"/>
              <w:rPr>
                <w:b w:val="0"/>
                <w:bCs/>
              </w:rPr>
            </w:pPr>
            <w:r w:rsidRPr="00B270AE">
              <w:rPr>
                <w:b w:val="0"/>
                <w:bCs/>
              </w:rPr>
              <w:t>Underscore how women and men’s experiences differ (</w:t>
            </w:r>
            <w:proofErr w:type="gramStart"/>
            <w:r w:rsidRPr="00B270AE">
              <w:rPr>
                <w:b w:val="0"/>
                <w:bCs/>
              </w:rPr>
              <w:t>e.g.</w:t>
            </w:r>
            <w:proofErr w:type="gramEnd"/>
            <w:r w:rsidRPr="00B270AE">
              <w:rPr>
                <w:b w:val="0"/>
                <w:bCs/>
              </w:rPr>
              <w:t xml:space="preserve"> unpaid labour, norms around leadership).</w:t>
            </w:r>
          </w:p>
          <w:p w14:paraId="21AA2F8A" w14:textId="104DD3C7" w:rsidR="00B270AE" w:rsidRPr="00B270AE" w:rsidRDefault="00B270AE" w:rsidP="00B270AE">
            <w:pPr>
              <w:pStyle w:val="ListParagraph"/>
              <w:keepNext/>
              <w:widowControl/>
              <w:numPr>
                <w:ilvl w:val="0"/>
                <w:numId w:val="26"/>
              </w:numPr>
              <w:autoSpaceDE/>
              <w:autoSpaceDN/>
              <w:spacing w:before="0" w:after="120"/>
              <w:ind w:left="714" w:hanging="357"/>
              <w:rPr>
                <w:b w:val="0"/>
                <w:bCs/>
              </w:rPr>
            </w:pPr>
            <w:r w:rsidRPr="00B270AE">
              <w:rPr>
                <w:b w:val="0"/>
                <w:bCs/>
              </w:rPr>
              <w:t xml:space="preserve">Ask people to reflect on their own personal lives, including asking women close to them about their lives and thinking about how they differ to their own.  </w:t>
            </w:r>
          </w:p>
        </w:tc>
      </w:tr>
    </w:tbl>
    <w:p w14:paraId="003A5554" w14:textId="77777777" w:rsidR="00B270AE" w:rsidRPr="00437FB5" w:rsidRDefault="00B270AE" w:rsidP="00B270AE">
      <w:pPr>
        <w:rPr>
          <w:lang w:eastAsia="en-GB"/>
        </w:rPr>
      </w:pPr>
    </w:p>
    <w:tbl>
      <w:tblPr>
        <w:tblStyle w:val="GridTable1Light-Accent4"/>
        <w:tblpPr w:leftFromText="180" w:rightFromText="180" w:vertAnchor="text" w:horzAnchor="margin" w:tblpY="20"/>
        <w:tblW w:w="10050" w:type="dxa"/>
        <w:tblLook w:val="04A0" w:firstRow="1" w:lastRow="0" w:firstColumn="1" w:lastColumn="0" w:noHBand="0" w:noVBand="1"/>
      </w:tblPr>
      <w:tblGrid>
        <w:gridCol w:w="10050"/>
      </w:tblGrid>
      <w:tr w:rsidR="00B270AE" w:rsidRPr="00437FB5" w14:paraId="72660FA3" w14:textId="77777777" w:rsidTr="00B270AE">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005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E5DFEC" w:themeFill="accent4" w:themeFillTint="33"/>
          </w:tcPr>
          <w:p w14:paraId="58E8304F" w14:textId="068DD8F7" w:rsidR="00B270AE" w:rsidRPr="007F50DB" w:rsidRDefault="00B270AE" w:rsidP="008E06F4">
            <w:pPr>
              <w:pStyle w:val="Caption"/>
              <w:rPr>
                <w:b w:val="0"/>
                <w:bCs w:val="0"/>
                <w:color w:val="F79646" w:themeColor="accent6"/>
                <w:sz w:val="22"/>
                <w:szCs w:val="22"/>
              </w:rPr>
            </w:pPr>
            <w:bookmarkStart w:id="140" w:name="_Toc75940835"/>
            <w:r w:rsidRPr="007F50DB">
              <w:rPr>
                <w:color w:val="F79646" w:themeColor="accent6"/>
                <w:sz w:val="22"/>
                <w:szCs w:val="22"/>
              </w:rPr>
              <w:t xml:space="preserve">Highlight Box </w:t>
            </w:r>
            <w:r w:rsidRPr="007F50DB">
              <w:rPr>
                <w:color w:val="F79646" w:themeColor="accent6"/>
                <w:sz w:val="22"/>
                <w:szCs w:val="22"/>
              </w:rPr>
              <w:fldChar w:fldCharType="begin"/>
            </w:r>
            <w:r w:rsidRPr="007F50DB">
              <w:rPr>
                <w:color w:val="F79646" w:themeColor="accent6"/>
                <w:sz w:val="22"/>
                <w:szCs w:val="22"/>
              </w:rPr>
              <w:instrText xml:space="preserve"> SEQ Highlight_Box \* ARABIC </w:instrText>
            </w:r>
            <w:r w:rsidRPr="007F50DB">
              <w:rPr>
                <w:color w:val="F79646" w:themeColor="accent6"/>
                <w:sz w:val="22"/>
                <w:szCs w:val="22"/>
              </w:rPr>
              <w:fldChar w:fldCharType="separate"/>
            </w:r>
            <w:r w:rsidR="00D93EBF">
              <w:rPr>
                <w:noProof/>
                <w:color w:val="F79646" w:themeColor="accent6"/>
                <w:sz w:val="22"/>
                <w:szCs w:val="22"/>
              </w:rPr>
              <w:t>12</w:t>
            </w:r>
            <w:r w:rsidRPr="007F50DB">
              <w:rPr>
                <w:color w:val="F79646" w:themeColor="accent6"/>
                <w:sz w:val="22"/>
                <w:szCs w:val="22"/>
              </w:rPr>
              <w:fldChar w:fldCharType="end"/>
            </w:r>
            <w:r w:rsidRPr="007F50DB">
              <w:rPr>
                <w:color w:val="F79646" w:themeColor="accent6"/>
                <w:sz w:val="22"/>
                <w:szCs w:val="22"/>
              </w:rPr>
              <w:t>: Resources for responding to resistance and backlash</w:t>
            </w:r>
            <w:bookmarkEnd w:id="140"/>
          </w:p>
          <w:p w14:paraId="5E923AC3" w14:textId="77777777" w:rsidR="00B270AE" w:rsidRPr="00360404" w:rsidRDefault="007F68BB" w:rsidP="00B270AE">
            <w:pPr>
              <w:pStyle w:val="ListParagraph"/>
              <w:numPr>
                <w:ilvl w:val="0"/>
                <w:numId w:val="28"/>
              </w:numPr>
              <w:spacing w:before="0" w:after="120"/>
              <w:ind w:left="714" w:hanging="357"/>
              <w:rPr>
                <w:b w:val="0"/>
                <w:bCs w:val="0"/>
              </w:rPr>
            </w:pPr>
            <w:hyperlink r:id="rId38" w:history="1">
              <w:r w:rsidR="00B270AE" w:rsidRPr="00360404">
                <w:rPr>
                  <w:rStyle w:val="Hyperlink"/>
                  <w:b w:val="0"/>
                  <w:bCs w:val="0"/>
                  <w:i/>
                  <w:iCs/>
                </w:rPr>
                <w:t>Backlash and buy in: Responding to the challenges in achieving gender equality</w:t>
              </w:r>
            </w:hyperlink>
            <w:r w:rsidR="00B270AE" w:rsidRPr="00360404">
              <w:rPr>
                <w:b w:val="0"/>
                <w:bCs w:val="0"/>
              </w:rPr>
              <w:t>, Chief Executive Women and Male Champions of Change, 2018.</w:t>
            </w:r>
          </w:p>
          <w:p w14:paraId="2AE540EE" w14:textId="77777777" w:rsidR="00B270AE" w:rsidRPr="00360404" w:rsidRDefault="007F68BB" w:rsidP="00B270AE">
            <w:pPr>
              <w:pStyle w:val="ListParagraph"/>
              <w:numPr>
                <w:ilvl w:val="0"/>
                <w:numId w:val="28"/>
              </w:numPr>
              <w:spacing w:before="0" w:after="120"/>
              <w:ind w:left="714" w:hanging="357"/>
              <w:rPr>
                <w:b w:val="0"/>
                <w:bCs w:val="0"/>
              </w:rPr>
            </w:pPr>
            <w:hyperlink r:id="rId39" w:history="1">
              <w:r w:rsidR="00B270AE" w:rsidRPr="00360404">
                <w:rPr>
                  <w:rStyle w:val="Hyperlink"/>
                  <w:b w:val="0"/>
                  <w:bCs w:val="0"/>
                  <w:i/>
                  <w:iCs/>
                </w:rPr>
                <w:t>Engaging Men: Reducing Resistance and Building Support</w:t>
              </w:r>
            </w:hyperlink>
            <w:r w:rsidR="00B270AE" w:rsidRPr="00360404">
              <w:rPr>
                <w:b w:val="0"/>
                <w:bCs w:val="0"/>
                <w:i/>
                <w:iCs/>
              </w:rPr>
              <w:t xml:space="preserve">, </w:t>
            </w:r>
            <w:r w:rsidR="00B270AE">
              <w:rPr>
                <w:b w:val="0"/>
                <w:bCs w:val="0"/>
              </w:rPr>
              <w:t>Flood et al.</w:t>
            </w:r>
            <w:r w:rsidR="00B270AE" w:rsidRPr="00360404">
              <w:rPr>
                <w:b w:val="0"/>
                <w:bCs w:val="0"/>
              </w:rPr>
              <w:t>, 2021.</w:t>
            </w:r>
          </w:p>
          <w:p w14:paraId="37F8A821" w14:textId="77777777" w:rsidR="00B270AE" w:rsidRPr="00360404" w:rsidRDefault="007F68BB" w:rsidP="00B270AE">
            <w:pPr>
              <w:pStyle w:val="ListParagraph"/>
              <w:numPr>
                <w:ilvl w:val="0"/>
                <w:numId w:val="28"/>
              </w:numPr>
              <w:spacing w:before="0" w:after="120"/>
              <w:ind w:left="714" w:hanging="357"/>
              <w:rPr>
                <w:b w:val="0"/>
                <w:bCs w:val="0"/>
              </w:rPr>
            </w:pPr>
            <w:hyperlink r:id="rId40" w:history="1">
              <w:r w:rsidR="00B270AE" w:rsidRPr="00547BFC">
                <w:rPr>
                  <w:rStyle w:val="Hyperlink"/>
                  <w:b w:val="0"/>
                  <w:bCs w:val="0"/>
                  <w:i/>
                  <w:iCs/>
                </w:rPr>
                <w:t>Feminist Pocketbook Tip Sheet 9, ‘</w:t>
              </w:r>
              <w:r w:rsidR="00B270AE" w:rsidRPr="00547BFC">
                <w:rPr>
                  <w:rStyle w:val="Hyperlink"/>
                  <w:b w:val="0"/>
                  <w:bCs w:val="0"/>
                </w:rPr>
                <w:t>Backlash: What is it and how do we address it safely?’</w:t>
              </w:r>
            </w:hyperlink>
            <w:r w:rsidR="00B270AE" w:rsidRPr="00547BFC">
              <w:rPr>
                <w:b w:val="0"/>
                <w:bCs w:val="0"/>
              </w:rPr>
              <w:t xml:space="preserve"> </w:t>
            </w:r>
            <w:r w:rsidR="00B270AE">
              <w:rPr>
                <w:b w:val="0"/>
                <w:bCs w:val="0"/>
              </w:rPr>
              <w:t>Coalition of Feminists for Social Change (COFEM), 2018.</w:t>
            </w:r>
          </w:p>
          <w:p w14:paraId="5956C045" w14:textId="77777777" w:rsidR="00B270AE" w:rsidRPr="00360404" w:rsidRDefault="007F68BB" w:rsidP="00B270AE">
            <w:pPr>
              <w:pStyle w:val="ListParagraph"/>
              <w:numPr>
                <w:ilvl w:val="0"/>
                <w:numId w:val="28"/>
              </w:numPr>
              <w:spacing w:before="0" w:after="120"/>
              <w:ind w:left="714" w:hanging="357"/>
              <w:rPr>
                <w:b w:val="0"/>
                <w:bCs w:val="0"/>
              </w:rPr>
            </w:pPr>
            <w:hyperlink r:id="rId41" w:history="1">
              <w:r w:rsidR="00B270AE" w:rsidRPr="00360404">
                <w:rPr>
                  <w:rStyle w:val="Hyperlink"/>
                  <w:b w:val="0"/>
                  <w:bCs w:val="0"/>
                  <w:i/>
                  <w:iCs/>
                </w:rPr>
                <w:t>Framing gender equality: Message guide</w:t>
              </w:r>
            </w:hyperlink>
            <w:r w:rsidR="00B270AE" w:rsidRPr="00360404">
              <w:rPr>
                <w:b w:val="0"/>
                <w:bCs w:val="0"/>
                <w:i/>
                <w:iCs/>
              </w:rPr>
              <w:t>, Vic Health, 2021.</w:t>
            </w:r>
          </w:p>
          <w:p w14:paraId="701AFF70" w14:textId="77777777" w:rsidR="00B270AE" w:rsidRPr="00360404" w:rsidRDefault="007F68BB" w:rsidP="00B270AE">
            <w:pPr>
              <w:pStyle w:val="ListParagraph"/>
              <w:numPr>
                <w:ilvl w:val="0"/>
                <w:numId w:val="28"/>
              </w:numPr>
              <w:spacing w:before="0" w:after="120"/>
              <w:ind w:left="714" w:hanging="357"/>
              <w:rPr>
                <w:b w:val="0"/>
                <w:bCs w:val="0"/>
              </w:rPr>
            </w:pPr>
            <w:hyperlink r:id="rId42" w:history="1">
              <w:r w:rsidR="00B270AE" w:rsidRPr="00360404">
                <w:rPr>
                  <w:rStyle w:val="Hyperlink"/>
                  <w:b w:val="0"/>
                  <w:bCs w:val="0"/>
                  <w:i/>
                  <w:iCs/>
                </w:rPr>
                <w:t>Framing masculinity: Message guide</w:t>
              </w:r>
            </w:hyperlink>
            <w:r w:rsidR="00B270AE" w:rsidRPr="00360404">
              <w:rPr>
                <w:b w:val="0"/>
                <w:bCs w:val="0"/>
                <w:i/>
                <w:iCs/>
              </w:rPr>
              <w:t xml:space="preserve">, </w:t>
            </w:r>
            <w:r w:rsidR="00B270AE" w:rsidRPr="00360404">
              <w:rPr>
                <w:b w:val="0"/>
                <w:bCs w:val="0"/>
              </w:rPr>
              <w:t>Vic Health, 2020.</w:t>
            </w:r>
          </w:p>
          <w:p w14:paraId="56C66CDD" w14:textId="77777777" w:rsidR="00B270AE" w:rsidRPr="009C4628" w:rsidRDefault="007F68BB" w:rsidP="00B270AE">
            <w:pPr>
              <w:pStyle w:val="ListParagraph"/>
              <w:numPr>
                <w:ilvl w:val="0"/>
                <w:numId w:val="28"/>
              </w:numPr>
              <w:spacing w:before="0" w:after="120"/>
              <w:ind w:left="714" w:hanging="357"/>
              <w:rPr>
                <w:b w:val="0"/>
                <w:bCs w:val="0"/>
              </w:rPr>
            </w:pPr>
            <w:hyperlink r:id="rId43" w:history="1">
              <w:r w:rsidR="00B270AE" w:rsidRPr="005C0A1B">
                <w:rPr>
                  <w:rStyle w:val="Hyperlink"/>
                  <w:b w:val="0"/>
                  <w:bCs w:val="0"/>
                </w:rPr>
                <w:t>Practice guidance: Dealing with backlash</w:t>
              </w:r>
            </w:hyperlink>
            <w:r w:rsidR="00B270AE">
              <w:rPr>
                <w:b w:val="0"/>
                <w:bCs w:val="0"/>
              </w:rPr>
              <w:t xml:space="preserve">, Our Watch, 2019. </w:t>
            </w:r>
          </w:p>
          <w:p w14:paraId="154B39D2" w14:textId="77777777" w:rsidR="00B270AE" w:rsidRPr="00416CCE" w:rsidRDefault="007F68BB" w:rsidP="00B270AE">
            <w:pPr>
              <w:pStyle w:val="ListParagraph"/>
              <w:numPr>
                <w:ilvl w:val="0"/>
                <w:numId w:val="28"/>
              </w:numPr>
              <w:spacing w:before="0" w:after="120"/>
              <w:ind w:left="714" w:hanging="357"/>
              <w:rPr>
                <w:b w:val="0"/>
                <w:bCs w:val="0"/>
              </w:rPr>
            </w:pPr>
            <w:hyperlink r:id="rId44" w:history="1">
              <w:r w:rsidR="00B270AE" w:rsidRPr="00576EDE">
                <w:rPr>
                  <w:rStyle w:val="Hyperlink"/>
                  <w:b w:val="0"/>
                  <w:bCs w:val="0"/>
                  <w:i/>
                  <w:iCs/>
                </w:rPr>
                <w:t>Responding to Resistance</w:t>
              </w:r>
            </w:hyperlink>
            <w:r w:rsidR="00B270AE">
              <w:rPr>
                <w:b w:val="0"/>
                <w:bCs w:val="0"/>
                <w:i/>
                <w:iCs/>
              </w:rPr>
              <w:t>,</w:t>
            </w:r>
            <w:r w:rsidR="00B270AE">
              <w:rPr>
                <w:b w:val="0"/>
                <w:bCs w:val="0"/>
              </w:rPr>
              <w:t xml:space="preserve"> Partners in Prevention, Domestic Violence Resource Centre.  </w:t>
            </w:r>
          </w:p>
          <w:p w14:paraId="01F5F779" w14:textId="77777777" w:rsidR="00B270AE" w:rsidRPr="006B48E8" w:rsidRDefault="007F68BB" w:rsidP="00B270AE">
            <w:pPr>
              <w:pStyle w:val="ListParagraph"/>
              <w:numPr>
                <w:ilvl w:val="0"/>
                <w:numId w:val="28"/>
              </w:numPr>
              <w:spacing w:before="0" w:after="120"/>
              <w:ind w:left="714" w:hanging="357"/>
              <w:rPr>
                <w:b w:val="0"/>
                <w:bCs w:val="0"/>
              </w:rPr>
            </w:pPr>
            <w:hyperlink r:id="rId45" w:history="1">
              <w:r w:rsidR="00B270AE" w:rsidRPr="00360404">
                <w:rPr>
                  <w:rStyle w:val="Hyperlink"/>
                  <w:b w:val="0"/>
                  <w:bCs w:val="0"/>
                  <w:i/>
                  <w:iCs/>
                </w:rPr>
                <w:t>Speaking publicly about preventing men’s violence against women: curly questions and language considerations</w:t>
              </w:r>
            </w:hyperlink>
            <w:r w:rsidR="00B270AE" w:rsidRPr="00360404">
              <w:rPr>
                <w:b w:val="0"/>
                <w:bCs w:val="0"/>
                <w:i/>
                <w:iCs/>
              </w:rPr>
              <w:t>,</w:t>
            </w:r>
            <w:r w:rsidR="00B270AE" w:rsidRPr="00360404">
              <w:rPr>
                <w:b w:val="0"/>
                <w:bCs w:val="0"/>
              </w:rPr>
              <w:t xml:space="preserve"> Women’s Health West, 2015.</w:t>
            </w:r>
          </w:p>
          <w:p w14:paraId="542389B0" w14:textId="77777777" w:rsidR="00B270AE" w:rsidRPr="00CE6CD9" w:rsidRDefault="007F68BB" w:rsidP="00B270AE">
            <w:pPr>
              <w:pStyle w:val="ListParagraph"/>
              <w:numPr>
                <w:ilvl w:val="0"/>
                <w:numId w:val="28"/>
              </w:numPr>
              <w:spacing w:before="0" w:after="120"/>
              <w:ind w:left="714" w:hanging="357"/>
              <w:rPr>
                <w:b w:val="0"/>
                <w:bCs w:val="0"/>
              </w:rPr>
            </w:pPr>
            <w:hyperlink r:id="rId46" w:history="1">
              <w:r w:rsidR="00B270AE" w:rsidRPr="00BA37CD">
                <w:rPr>
                  <w:rStyle w:val="Hyperlink"/>
                  <w:b w:val="0"/>
                  <w:bCs w:val="0"/>
                  <w:i/>
                </w:rPr>
                <w:t>Resource 7: Answering ‘backlash’ and ‘resistance’ questions about the National Community Attitudes towards Violence against Women Survey (NCAS)</w:t>
              </w:r>
            </w:hyperlink>
            <w:r w:rsidR="00B270AE" w:rsidRPr="00BA37CD">
              <w:rPr>
                <w:i/>
              </w:rPr>
              <w:t>,</w:t>
            </w:r>
            <w:r w:rsidR="00B270AE">
              <w:rPr>
                <w:b w:val="0"/>
                <w:bCs w:val="0"/>
              </w:rPr>
              <w:t xml:space="preserve"> Respect Victoria and ANROWS, 2020. </w:t>
            </w:r>
          </w:p>
        </w:tc>
      </w:tr>
    </w:tbl>
    <w:p w14:paraId="447A539B" w14:textId="77777777" w:rsidR="00B270AE" w:rsidRDefault="00B270AE" w:rsidP="00B01F9C">
      <w:pPr>
        <w:rPr>
          <w:color w:val="000000" w:themeColor="text1"/>
        </w:rPr>
        <w:sectPr w:rsidR="00B270AE" w:rsidSect="00B270AE">
          <w:type w:val="continuous"/>
          <w:pgSz w:w="11900" w:h="16850"/>
          <w:pgMar w:top="1340" w:right="1060" w:bottom="1020" w:left="860" w:header="567" w:footer="824" w:gutter="0"/>
          <w:cols w:space="720"/>
          <w:docGrid w:linePitch="299"/>
        </w:sectPr>
      </w:pPr>
    </w:p>
    <w:p w14:paraId="23E635E8" w14:textId="53AE0400" w:rsidR="00B270AE" w:rsidRPr="007F50DB" w:rsidRDefault="00B270AE" w:rsidP="00B270AE">
      <w:pPr>
        <w:pStyle w:val="Heading3"/>
        <w:tabs>
          <w:tab w:val="left" w:pos="1418"/>
        </w:tabs>
        <w:spacing w:before="0" w:after="120"/>
        <w:rPr>
          <w:rFonts w:eastAsia="Arial" w:cs="Arial"/>
          <w:bCs/>
          <w:sz w:val="32"/>
          <w:szCs w:val="24"/>
        </w:rPr>
      </w:pPr>
      <w:bookmarkStart w:id="141" w:name="_Toc85620755"/>
      <w:bookmarkStart w:id="142" w:name="_Toc87526344"/>
      <w:r w:rsidRPr="007F50DB">
        <w:rPr>
          <w:rFonts w:eastAsia="Arial" w:cs="Arial"/>
          <w:bCs/>
          <w:sz w:val="32"/>
          <w:szCs w:val="24"/>
        </w:rPr>
        <w:t>Opposing actions to resistance</w:t>
      </w:r>
      <w:bookmarkEnd w:id="141"/>
      <w:bookmarkEnd w:id="142"/>
    </w:p>
    <w:p w14:paraId="491A4C56" w14:textId="77777777" w:rsidR="00B270AE" w:rsidRPr="00437FB5" w:rsidRDefault="00B270AE" w:rsidP="00B270AE">
      <w:r w:rsidRPr="00437FB5">
        <w:t xml:space="preserve">The nascent field of resistance and backlash to primary prevention approaches of violence against women and engaging men and boys has importantly focussed on mapping the various dimensions of the problem. It has begun to build and expand on a valuable collection of strategies to respond to resistance, which this research contributes to. </w:t>
      </w:r>
    </w:p>
    <w:p w14:paraId="10EF5F61" w14:textId="77777777" w:rsidR="00B270AE" w:rsidRPr="00437FB5" w:rsidRDefault="00B270AE" w:rsidP="00B270AE"/>
    <w:p w14:paraId="4A2AC170" w14:textId="77777777" w:rsidR="00B270AE" w:rsidRPr="006A0CD2" w:rsidRDefault="00B270AE" w:rsidP="00B270AE">
      <w:pPr>
        <w:tabs>
          <w:tab w:val="left" w:pos="3143"/>
        </w:tabs>
        <w:rPr>
          <w:b/>
          <w:bCs/>
          <w:i/>
          <w:iCs/>
        </w:rPr>
      </w:pPr>
      <w:r w:rsidRPr="00437FB5">
        <w:t>Less focus has been placed on mapping the corresponding solutions. Understanding the nuances of resistance and the different forms it can take means that we can and should think carefully about what the opposing solutions are and to map out the dimensions of what we are trying to achieve</w:t>
      </w:r>
      <w:r>
        <w:t>: c</w:t>
      </w:r>
      <w:r w:rsidRPr="00437FB5">
        <w:t xml:space="preserve">hallenging harmful gender norms, </w:t>
      </w:r>
      <w:proofErr w:type="gramStart"/>
      <w:r w:rsidRPr="00437FB5">
        <w:t>practices</w:t>
      </w:r>
      <w:proofErr w:type="gramEnd"/>
      <w:r w:rsidRPr="00437FB5">
        <w:t xml:space="preserve"> and structures through short- and long-term </w:t>
      </w:r>
      <w:r>
        <w:t>implementation to realise</w:t>
      </w:r>
      <w:r w:rsidRPr="00437FB5">
        <w:t xml:space="preserve"> primary prevention and broader gender equality goals.</w:t>
      </w:r>
      <w:r>
        <w:t xml:space="preserve"> That is, a society in which women and their children live free from violence.</w:t>
      </w:r>
    </w:p>
    <w:p w14:paraId="25CBB20B" w14:textId="310D7278" w:rsidR="00B270AE" w:rsidRDefault="00B270AE" w:rsidP="00B270AE"/>
    <w:p w14:paraId="6BED371D" w14:textId="0668455B" w:rsidR="00E83574" w:rsidRDefault="00E83574" w:rsidP="00B270AE"/>
    <w:p w14:paraId="6939643C" w14:textId="59C74A21" w:rsidR="00E83574" w:rsidRDefault="00E83574" w:rsidP="00B270AE"/>
    <w:p w14:paraId="4D73C940" w14:textId="6DFC805A" w:rsidR="00E83574" w:rsidRDefault="00E83574" w:rsidP="00B270AE"/>
    <w:p w14:paraId="0AD4F050" w14:textId="2613EB08" w:rsidR="00E83574" w:rsidRDefault="00E83574" w:rsidP="00B270AE"/>
    <w:p w14:paraId="652C4DB2" w14:textId="6FADA3EA" w:rsidR="00E83574" w:rsidRDefault="00E83574" w:rsidP="00B270AE"/>
    <w:p w14:paraId="73764AAE" w14:textId="1C1BED06" w:rsidR="00E83574" w:rsidRDefault="00E83574" w:rsidP="00B270AE"/>
    <w:p w14:paraId="7660C3BC" w14:textId="79420B37" w:rsidR="00E83574" w:rsidRDefault="00E83574" w:rsidP="00B270AE"/>
    <w:p w14:paraId="75B52A00" w14:textId="77777777" w:rsidR="00E83574" w:rsidRPr="00437FB5" w:rsidRDefault="00E83574" w:rsidP="00B270AE"/>
    <w:p w14:paraId="127A26D7" w14:textId="77777777" w:rsidR="00B270AE" w:rsidRPr="00437FB5" w:rsidRDefault="00B270AE" w:rsidP="00B270AE">
      <w:pPr>
        <w:pStyle w:val="IntenseQuote"/>
        <w:ind w:left="864"/>
        <w:rPr>
          <w:sz w:val="24"/>
        </w:rPr>
      </w:pPr>
      <w:r w:rsidRPr="00437FB5">
        <w:rPr>
          <w:sz w:val="24"/>
        </w:rPr>
        <w:t>What does championing look like? What does avowal look like? What does solidarity look like? What is a positive framing and how do we know that that is working?</w:t>
      </w:r>
      <w:r>
        <w:rPr>
          <w:sz w:val="24"/>
        </w:rPr>
        <w:t xml:space="preserve"> W</w:t>
      </w:r>
      <w:r w:rsidRPr="00437FB5">
        <w:rPr>
          <w:sz w:val="24"/>
        </w:rPr>
        <w:t xml:space="preserve">e don’t </w:t>
      </w:r>
      <w:r>
        <w:rPr>
          <w:sz w:val="24"/>
        </w:rPr>
        <w:t xml:space="preserve">want to </w:t>
      </w:r>
      <w:r w:rsidRPr="00437FB5">
        <w:rPr>
          <w:sz w:val="24"/>
        </w:rPr>
        <w:t>fall into the</w:t>
      </w:r>
      <w:r>
        <w:rPr>
          <w:sz w:val="24"/>
        </w:rPr>
        <w:t xml:space="preserve"> trap of</w:t>
      </w:r>
      <w:r w:rsidRPr="00437FB5">
        <w:rPr>
          <w:sz w:val="24"/>
        </w:rPr>
        <w:t xml:space="preserve"> “you’re resisting, no you’re resisting”. </w:t>
      </w:r>
      <w:r>
        <w:rPr>
          <w:sz w:val="24"/>
        </w:rPr>
        <w:t>Although useful, it is</w:t>
      </w:r>
      <w:r w:rsidRPr="00437FB5">
        <w:rPr>
          <w:sz w:val="24"/>
        </w:rPr>
        <w:t xml:space="preserve"> so negative</w:t>
      </w:r>
      <w:r>
        <w:rPr>
          <w:sz w:val="24"/>
        </w:rPr>
        <w:t xml:space="preserve"> and</w:t>
      </w:r>
      <w:r w:rsidRPr="00437FB5">
        <w:rPr>
          <w:sz w:val="24"/>
        </w:rPr>
        <w:t xml:space="preserve"> not the whole thing</w:t>
      </w:r>
      <w:r>
        <w:rPr>
          <w:rStyle w:val="FootnoteReference"/>
          <w:sz w:val="24"/>
        </w:rPr>
        <w:footnoteReference w:id="36"/>
      </w:r>
      <w:r w:rsidRPr="00437FB5">
        <w:rPr>
          <w:sz w:val="24"/>
        </w:rPr>
        <w:t xml:space="preserve"> </w:t>
      </w:r>
    </w:p>
    <w:p w14:paraId="7330CD96" w14:textId="77777777" w:rsidR="00B270AE" w:rsidRDefault="00B270AE" w:rsidP="00B270AE"/>
    <w:p w14:paraId="628E5A49" w14:textId="7DEE7061" w:rsidR="00B270AE" w:rsidRDefault="00B270AE" w:rsidP="00B270AE">
      <w:r>
        <w:t>Table 1</w:t>
      </w:r>
      <w:r w:rsidRPr="00437FB5">
        <w:t xml:space="preserve"> </w:t>
      </w:r>
      <w:r w:rsidR="00863974">
        <w:t xml:space="preserve">aims </w:t>
      </w:r>
      <w:r w:rsidRPr="00437FB5">
        <w:t xml:space="preserve">to establish a positive framing to resistance work that corresponds with the 8 </w:t>
      </w:r>
      <w:r>
        <w:t>forms of resistance</w:t>
      </w:r>
      <w:r w:rsidRPr="00437FB5">
        <w:t xml:space="preserve"> already conceptualised in the prevention of violence against women sector.</w:t>
      </w:r>
      <w:r w:rsidRPr="00507B50">
        <w:rPr>
          <w:rStyle w:val="FootnoteReference"/>
        </w:rPr>
        <w:t xml:space="preserve"> </w:t>
      </w:r>
      <w:r w:rsidRPr="00507B50">
        <w:rPr>
          <w:rStyle w:val="FootnoteReference"/>
        </w:rPr>
        <w:footnoteReference w:id="37"/>
      </w:r>
      <w:r w:rsidRPr="005C17E8">
        <w:t xml:space="preserve"> </w:t>
      </w:r>
      <w:r>
        <w:t xml:space="preserve"> This could potentially be used in collaboration with a monitoring guide, to assist practitioners, </w:t>
      </w:r>
      <w:proofErr w:type="gramStart"/>
      <w:r>
        <w:t>leaders</w:t>
      </w:r>
      <w:proofErr w:type="gramEnd"/>
      <w:r>
        <w:t xml:space="preserve"> and the violence prevention sector to think about what resistance is occurring, what kinds of actions to take and to keep centring the goals of prevention. </w:t>
      </w:r>
    </w:p>
    <w:p w14:paraId="1E4480D1" w14:textId="77777777" w:rsidR="00B270AE" w:rsidRDefault="00B270AE" w:rsidP="00B270AE"/>
    <w:p w14:paraId="324BD846" w14:textId="0A2A928A" w:rsidR="00B270AE" w:rsidRDefault="00B270AE" w:rsidP="00B270AE">
      <w:r>
        <w:t xml:space="preserve">As discussed in this report, those advocating and implementing primary prevention can be fatigued by less obvious progress or entrenched opposition that may seem insurmountable. Further development of the approach outlined below may provide people working towards violence prevention goals with action-focused strategies to overcome apathy and burnout and to counteract resistance. </w:t>
      </w:r>
    </w:p>
    <w:p w14:paraId="5A3A456A" w14:textId="77777777" w:rsidR="00B270AE" w:rsidRDefault="00B270AE" w:rsidP="00B01F9C">
      <w:pPr>
        <w:rPr>
          <w:color w:val="000000" w:themeColor="text1"/>
        </w:rPr>
        <w:sectPr w:rsidR="00B270AE" w:rsidSect="00B270AE">
          <w:type w:val="continuous"/>
          <w:pgSz w:w="11900" w:h="16850"/>
          <w:pgMar w:top="1340" w:right="1060" w:bottom="1020" w:left="860" w:header="567" w:footer="824" w:gutter="0"/>
          <w:cols w:num="2" w:space="720"/>
          <w:docGrid w:linePitch="299"/>
        </w:sectPr>
      </w:pPr>
    </w:p>
    <w:p w14:paraId="57F83C83" w14:textId="77777777" w:rsidR="00127267" w:rsidRDefault="00127267">
      <w:pPr>
        <w:rPr>
          <w:i/>
          <w:iCs/>
          <w:color w:val="F79646" w:themeColor="accent6"/>
          <w:sz w:val="22"/>
        </w:rPr>
      </w:pPr>
      <w:bookmarkStart w:id="143" w:name="_Toc74636382"/>
      <w:bookmarkStart w:id="144" w:name="_Toc74636598"/>
      <w:r>
        <w:rPr>
          <w:color w:val="F79646" w:themeColor="accent6"/>
          <w:sz w:val="22"/>
        </w:rPr>
        <w:br w:type="page"/>
      </w:r>
    </w:p>
    <w:p w14:paraId="05845788" w14:textId="323C8CF4" w:rsidR="00B270AE" w:rsidRPr="00B270AE" w:rsidRDefault="00B270AE" w:rsidP="00B270AE">
      <w:pPr>
        <w:pStyle w:val="Caption"/>
        <w:keepNext/>
        <w:rPr>
          <w:color w:val="F79646" w:themeColor="accent6"/>
          <w:sz w:val="22"/>
          <w:szCs w:val="22"/>
        </w:rPr>
      </w:pPr>
      <w:r w:rsidRPr="00B270AE">
        <w:rPr>
          <w:color w:val="F79646" w:themeColor="accent6"/>
          <w:sz w:val="22"/>
          <w:szCs w:val="22"/>
        </w:rPr>
        <w:lastRenderedPageBreak/>
        <w:t>Table</w:t>
      </w:r>
      <w:r w:rsidR="00BE0A7C">
        <w:rPr>
          <w:color w:val="F79646" w:themeColor="accent6"/>
          <w:sz w:val="22"/>
          <w:szCs w:val="22"/>
        </w:rPr>
        <w:t xml:space="preserve"> </w:t>
      </w:r>
      <w:r w:rsidRPr="00B270AE">
        <w:rPr>
          <w:color w:val="F79646" w:themeColor="accent6"/>
          <w:sz w:val="22"/>
          <w:szCs w:val="22"/>
        </w:rPr>
        <w:fldChar w:fldCharType="begin"/>
      </w:r>
      <w:r w:rsidRPr="00B270AE">
        <w:rPr>
          <w:color w:val="F79646" w:themeColor="accent6"/>
          <w:sz w:val="22"/>
          <w:szCs w:val="22"/>
        </w:rPr>
        <w:instrText xml:space="preserve"> SEQ Table \* ARABIC \s 1 </w:instrText>
      </w:r>
      <w:r w:rsidRPr="00B270AE">
        <w:rPr>
          <w:color w:val="F79646" w:themeColor="accent6"/>
          <w:sz w:val="22"/>
          <w:szCs w:val="22"/>
        </w:rPr>
        <w:fldChar w:fldCharType="separate"/>
      </w:r>
      <w:r w:rsidR="00D93EBF">
        <w:rPr>
          <w:noProof/>
          <w:color w:val="F79646" w:themeColor="accent6"/>
          <w:sz w:val="22"/>
          <w:szCs w:val="22"/>
        </w:rPr>
        <w:t>1</w:t>
      </w:r>
      <w:r w:rsidRPr="00B270AE">
        <w:rPr>
          <w:color w:val="F79646" w:themeColor="accent6"/>
          <w:sz w:val="22"/>
          <w:szCs w:val="22"/>
        </w:rPr>
        <w:fldChar w:fldCharType="end"/>
      </w:r>
      <w:r w:rsidRPr="00B270AE">
        <w:rPr>
          <w:color w:val="F79646" w:themeColor="accent6"/>
          <w:sz w:val="22"/>
          <w:szCs w:val="22"/>
        </w:rPr>
        <w:t xml:space="preserve"> Opposing actions to resistance</w:t>
      </w:r>
      <w:bookmarkEnd w:id="143"/>
      <w:bookmarkEnd w:id="144"/>
    </w:p>
    <w:tbl>
      <w:tblPr>
        <w:tblStyle w:val="TableGrid"/>
        <w:tblW w:w="10065" w:type="dxa"/>
        <w:tblLook w:val="04A0" w:firstRow="1" w:lastRow="0" w:firstColumn="1" w:lastColumn="0" w:noHBand="0" w:noVBand="1"/>
      </w:tblPr>
      <w:tblGrid>
        <w:gridCol w:w="4776"/>
        <w:gridCol w:w="5289"/>
      </w:tblGrid>
      <w:tr w:rsidR="00B270AE" w:rsidRPr="00507B50" w14:paraId="15118777" w14:textId="77777777" w:rsidTr="007F50DB">
        <w:trPr>
          <w:cnfStyle w:val="100000000000" w:firstRow="1" w:lastRow="0" w:firstColumn="0" w:lastColumn="0" w:oddVBand="0" w:evenVBand="0" w:oddHBand="0" w:evenHBand="0" w:firstRowFirstColumn="0" w:firstRowLastColumn="0" w:lastRowFirstColumn="0" w:lastRowLastColumn="0"/>
          <w:trHeight w:val="331"/>
        </w:trPr>
        <w:tc>
          <w:tcPr>
            <w:tcW w:w="0" w:type="dxa"/>
          </w:tcPr>
          <w:p w14:paraId="411EB128" w14:textId="77777777" w:rsidR="00B270AE" w:rsidRPr="00507B50" w:rsidRDefault="00B270AE" w:rsidP="008E06F4">
            <w:pPr>
              <w:pStyle w:val="Monitoringguidetext"/>
            </w:pPr>
            <w:r w:rsidRPr="00507B50">
              <w:t>Form of resistance</w:t>
            </w:r>
          </w:p>
        </w:tc>
        <w:tc>
          <w:tcPr>
            <w:tcW w:w="0" w:type="dxa"/>
          </w:tcPr>
          <w:p w14:paraId="517F2093" w14:textId="77777777" w:rsidR="00B270AE" w:rsidRPr="00507B50" w:rsidRDefault="00B270AE" w:rsidP="008E06F4">
            <w:pPr>
              <w:pStyle w:val="Monitoringguidetext"/>
            </w:pPr>
            <w:r w:rsidRPr="002C4042">
              <w:t>Actions to address resistance</w:t>
            </w:r>
          </w:p>
        </w:tc>
      </w:tr>
      <w:tr w:rsidR="00B270AE" w:rsidRPr="00507B50" w14:paraId="2EAD689C" w14:textId="77777777" w:rsidTr="007F50DB">
        <w:trPr>
          <w:trHeight w:val="331"/>
        </w:trPr>
        <w:tc>
          <w:tcPr>
            <w:tcW w:w="0" w:type="dxa"/>
          </w:tcPr>
          <w:p w14:paraId="5C868E76" w14:textId="77777777" w:rsidR="00B270AE" w:rsidRPr="007F50DB" w:rsidRDefault="00B270AE" w:rsidP="008E06F4">
            <w:pPr>
              <w:pStyle w:val="Monitoringguidetext"/>
              <w:rPr>
                <w:b/>
                <w:bCs/>
                <w:i/>
                <w:iCs/>
                <w:sz w:val="16"/>
                <w:szCs w:val="16"/>
              </w:rPr>
            </w:pPr>
            <w:r w:rsidRPr="007F50DB">
              <w:rPr>
                <w:b/>
                <w:bCs/>
                <w:i/>
                <w:iCs/>
                <w:sz w:val="16"/>
                <w:szCs w:val="16"/>
              </w:rPr>
              <w:t>Denial</w:t>
            </w:r>
          </w:p>
          <w:p w14:paraId="3114217B" w14:textId="281699BE" w:rsidR="00B270AE" w:rsidRPr="007F50DB" w:rsidRDefault="00B270AE" w:rsidP="00B270AE">
            <w:pPr>
              <w:pStyle w:val="Monitoringguidetext"/>
              <w:numPr>
                <w:ilvl w:val="0"/>
                <w:numId w:val="30"/>
              </w:numPr>
              <w:ind w:left="182" w:hanging="218"/>
              <w:rPr>
                <w:sz w:val="16"/>
                <w:szCs w:val="16"/>
              </w:rPr>
            </w:pPr>
            <w:r w:rsidRPr="007F50DB">
              <w:rPr>
                <w:sz w:val="16"/>
                <w:szCs w:val="16"/>
              </w:rPr>
              <w:t xml:space="preserve">Denying the problem exists including minimising its extent, </w:t>
            </w:r>
            <w:proofErr w:type="gramStart"/>
            <w:r w:rsidRPr="007F50DB">
              <w:rPr>
                <w:sz w:val="16"/>
                <w:szCs w:val="16"/>
              </w:rPr>
              <w:t>significance</w:t>
            </w:r>
            <w:proofErr w:type="gramEnd"/>
            <w:r w:rsidRPr="007F50DB">
              <w:rPr>
                <w:sz w:val="16"/>
                <w:szCs w:val="16"/>
              </w:rPr>
              <w:t xml:space="preserve"> or impact</w:t>
            </w:r>
            <w:r w:rsidR="002865C1">
              <w:rPr>
                <w:sz w:val="16"/>
                <w:szCs w:val="16"/>
              </w:rPr>
              <w:t>.</w:t>
            </w:r>
          </w:p>
          <w:p w14:paraId="6C5532A3" w14:textId="0614E76B" w:rsidR="00B270AE" w:rsidRPr="007F50DB" w:rsidRDefault="00B270AE" w:rsidP="00B270AE">
            <w:pPr>
              <w:pStyle w:val="Monitoringguidetext"/>
              <w:numPr>
                <w:ilvl w:val="0"/>
                <w:numId w:val="30"/>
              </w:numPr>
              <w:ind w:left="182" w:hanging="218"/>
              <w:rPr>
                <w:sz w:val="16"/>
                <w:szCs w:val="16"/>
              </w:rPr>
            </w:pPr>
            <w:r w:rsidRPr="007F50DB">
              <w:rPr>
                <w:sz w:val="16"/>
                <w:szCs w:val="16"/>
              </w:rPr>
              <w:t>Renaming and redefining it out of existence</w:t>
            </w:r>
            <w:r w:rsidR="002865C1">
              <w:rPr>
                <w:sz w:val="16"/>
                <w:szCs w:val="16"/>
              </w:rPr>
              <w:t>.</w:t>
            </w:r>
          </w:p>
          <w:p w14:paraId="1B8497F2" w14:textId="6AFE9BBB" w:rsidR="00B270AE" w:rsidRPr="007F50DB" w:rsidRDefault="00B270AE" w:rsidP="00B270AE">
            <w:pPr>
              <w:pStyle w:val="Monitoringguidetext"/>
              <w:numPr>
                <w:ilvl w:val="0"/>
                <w:numId w:val="30"/>
              </w:numPr>
              <w:ind w:left="182" w:hanging="218"/>
              <w:rPr>
                <w:sz w:val="16"/>
                <w:szCs w:val="16"/>
              </w:rPr>
            </w:pPr>
            <w:r w:rsidRPr="007F50DB">
              <w:rPr>
                <w:sz w:val="16"/>
                <w:szCs w:val="16"/>
              </w:rPr>
              <w:t>Blaming victims for the problem</w:t>
            </w:r>
            <w:r w:rsidR="002865C1">
              <w:rPr>
                <w:sz w:val="16"/>
                <w:szCs w:val="16"/>
              </w:rPr>
              <w:t>.</w:t>
            </w:r>
          </w:p>
          <w:p w14:paraId="48C5D4CA" w14:textId="44A9470D" w:rsidR="00B270AE" w:rsidRPr="007F50DB" w:rsidRDefault="00B270AE" w:rsidP="00B270AE">
            <w:pPr>
              <w:pStyle w:val="Monitoringguidetext"/>
              <w:numPr>
                <w:ilvl w:val="0"/>
                <w:numId w:val="30"/>
              </w:numPr>
              <w:ind w:left="182" w:hanging="218"/>
              <w:rPr>
                <w:sz w:val="16"/>
                <w:szCs w:val="16"/>
              </w:rPr>
            </w:pPr>
            <w:r w:rsidRPr="007F50DB">
              <w:rPr>
                <w:sz w:val="16"/>
                <w:szCs w:val="16"/>
              </w:rPr>
              <w:t xml:space="preserve">Denying the credibility of the message on the basis that it is supposedly irrational, </w:t>
            </w:r>
            <w:proofErr w:type="gramStart"/>
            <w:r w:rsidRPr="007F50DB">
              <w:rPr>
                <w:sz w:val="16"/>
                <w:szCs w:val="16"/>
              </w:rPr>
              <w:t>untruthful</w:t>
            </w:r>
            <w:proofErr w:type="gramEnd"/>
            <w:r w:rsidRPr="007F50DB">
              <w:rPr>
                <w:sz w:val="16"/>
                <w:szCs w:val="16"/>
              </w:rPr>
              <w:t xml:space="preserve"> or exaggerated</w:t>
            </w:r>
            <w:r w:rsidR="002865C1">
              <w:rPr>
                <w:sz w:val="16"/>
                <w:szCs w:val="16"/>
              </w:rPr>
              <w:t>.</w:t>
            </w:r>
          </w:p>
          <w:p w14:paraId="688113DC" w14:textId="2D1789C7" w:rsidR="00B270AE" w:rsidRPr="007F50DB" w:rsidRDefault="00B270AE" w:rsidP="00B270AE">
            <w:pPr>
              <w:pStyle w:val="Monitoringguidetext"/>
              <w:numPr>
                <w:ilvl w:val="0"/>
                <w:numId w:val="30"/>
              </w:numPr>
              <w:ind w:left="182" w:hanging="218"/>
              <w:rPr>
                <w:sz w:val="16"/>
                <w:szCs w:val="16"/>
              </w:rPr>
            </w:pPr>
            <w:r w:rsidRPr="007F50DB">
              <w:rPr>
                <w:sz w:val="16"/>
                <w:szCs w:val="16"/>
              </w:rPr>
              <w:t>Denying the legitimacy of the issue by attacking the credibility of the messengers of change by impugning their motives and marginalising them as a special interest group</w:t>
            </w:r>
            <w:r w:rsidR="002865C1">
              <w:rPr>
                <w:sz w:val="16"/>
                <w:szCs w:val="16"/>
              </w:rPr>
              <w:t>.</w:t>
            </w:r>
          </w:p>
        </w:tc>
        <w:tc>
          <w:tcPr>
            <w:tcW w:w="0" w:type="dxa"/>
          </w:tcPr>
          <w:p w14:paraId="3AE3CDE4" w14:textId="77777777" w:rsidR="00B270AE" w:rsidRPr="007F50DB" w:rsidRDefault="00B270AE" w:rsidP="008E06F4">
            <w:pPr>
              <w:pStyle w:val="Monitoringguidetext"/>
              <w:rPr>
                <w:b/>
                <w:bCs/>
                <w:i/>
                <w:iCs/>
                <w:sz w:val="16"/>
                <w:szCs w:val="16"/>
              </w:rPr>
            </w:pPr>
            <w:r w:rsidRPr="007F50DB">
              <w:rPr>
                <w:b/>
                <w:bCs/>
                <w:i/>
                <w:iCs/>
                <w:sz w:val="16"/>
                <w:szCs w:val="16"/>
              </w:rPr>
              <w:t xml:space="preserve">Recognition, </w:t>
            </w:r>
            <w:proofErr w:type="gramStart"/>
            <w:r w:rsidRPr="007F50DB">
              <w:rPr>
                <w:b/>
                <w:bCs/>
                <w:i/>
                <w:iCs/>
                <w:sz w:val="16"/>
                <w:szCs w:val="16"/>
              </w:rPr>
              <w:t>acknowledgement</w:t>
            </w:r>
            <w:proofErr w:type="gramEnd"/>
            <w:r w:rsidRPr="007F50DB">
              <w:rPr>
                <w:b/>
                <w:bCs/>
                <w:i/>
                <w:iCs/>
                <w:sz w:val="16"/>
                <w:szCs w:val="16"/>
              </w:rPr>
              <w:t xml:space="preserve"> and acceptance</w:t>
            </w:r>
          </w:p>
          <w:p w14:paraId="505E7E0B" w14:textId="7B0D58C7" w:rsidR="00B270AE" w:rsidRPr="007F50DB" w:rsidRDefault="00B270AE" w:rsidP="00B270AE">
            <w:pPr>
              <w:pStyle w:val="Monitoringguidetext"/>
              <w:numPr>
                <w:ilvl w:val="0"/>
                <w:numId w:val="29"/>
              </w:numPr>
              <w:ind w:left="174" w:hanging="218"/>
              <w:rPr>
                <w:sz w:val="16"/>
                <w:szCs w:val="16"/>
              </w:rPr>
            </w:pPr>
            <w:r w:rsidRPr="007F50DB">
              <w:rPr>
                <w:sz w:val="16"/>
                <w:szCs w:val="16"/>
              </w:rPr>
              <w:t>Draw attention to the problem that exists, emphasising gender power relations as the underlying drivers of violence against women</w:t>
            </w:r>
            <w:r w:rsidR="002865C1">
              <w:rPr>
                <w:sz w:val="16"/>
                <w:szCs w:val="16"/>
              </w:rPr>
              <w:t>.</w:t>
            </w:r>
          </w:p>
          <w:p w14:paraId="54163A25" w14:textId="77777777" w:rsidR="00B270AE" w:rsidRPr="007F50DB" w:rsidRDefault="00B270AE" w:rsidP="00B270AE">
            <w:pPr>
              <w:pStyle w:val="Monitoringguidetext"/>
              <w:numPr>
                <w:ilvl w:val="0"/>
                <w:numId w:val="29"/>
              </w:numPr>
              <w:ind w:left="174" w:hanging="218"/>
              <w:rPr>
                <w:sz w:val="16"/>
                <w:szCs w:val="16"/>
              </w:rPr>
            </w:pPr>
            <w:r w:rsidRPr="007F50DB">
              <w:rPr>
                <w:sz w:val="16"/>
                <w:szCs w:val="16"/>
              </w:rPr>
              <w:t>Framing primary prevention not in zero-sum terms.</w:t>
            </w:r>
          </w:p>
          <w:p w14:paraId="73C18896" w14:textId="4A13C10E" w:rsidR="00B270AE" w:rsidRPr="007F50DB" w:rsidRDefault="00B270AE" w:rsidP="00B270AE">
            <w:pPr>
              <w:pStyle w:val="Monitoringguidetext"/>
              <w:numPr>
                <w:ilvl w:val="0"/>
                <w:numId w:val="29"/>
              </w:numPr>
              <w:ind w:left="174" w:hanging="218"/>
              <w:rPr>
                <w:sz w:val="16"/>
                <w:szCs w:val="16"/>
              </w:rPr>
            </w:pPr>
            <w:r w:rsidRPr="007F50DB">
              <w:rPr>
                <w:sz w:val="16"/>
                <w:szCs w:val="16"/>
              </w:rPr>
              <w:t>Promote understanding of the intersection of structural dynamics and the impacts on violence</w:t>
            </w:r>
            <w:r w:rsidR="002865C1">
              <w:rPr>
                <w:sz w:val="16"/>
                <w:szCs w:val="16"/>
              </w:rPr>
              <w:t>.</w:t>
            </w:r>
          </w:p>
          <w:p w14:paraId="62A1D8F4" w14:textId="72E20C2D" w:rsidR="00B270AE" w:rsidRPr="007F50DB" w:rsidRDefault="00B270AE" w:rsidP="00B270AE">
            <w:pPr>
              <w:pStyle w:val="Monitoringguidetext"/>
              <w:numPr>
                <w:ilvl w:val="0"/>
                <w:numId w:val="29"/>
              </w:numPr>
              <w:ind w:left="174" w:hanging="218"/>
              <w:rPr>
                <w:sz w:val="16"/>
                <w:szCs w:val="16"/>
              </w:rPr>
            </w:pPr>
            <w:r w:rsidRPr="007F50DB">
              <w:rPr>
                <w:sz w:val="16"/>
                <w:szCs w:val="16"/>
              </w:rPr>
              <w:t>Centre and give credence to victim-survivors’ experiences and voices in institutional architecture and service delivery</w:t>
            </w:r>
            <w:r w:rsidR="002865C1">
              <w:rPr>
                <w:sz w:val="16"/>
                <w:szCs w:val="16"/>
              </w:rPr>
              <w:t>.</w:t>
            </w:r>
          </w:p>
          <w:p w14:paraId="760CE938" w14:textId="64FA0F3C" w:rsidR="00B270AE" w:rsidRPr="007F50DB" w:rsidRDefault="00B270AE" w:rsidP="00B270AE">
            <w:pPr>
              <w:pStyle w:val="Monitoringguidetext"/>
              <w:numPr>
                <w:ilvl w:val="0"/>
                <w:numId w:val="29"/>
              </w:numPr>
              <w:ind w:left="174" w:hanging="218"/>
              <w:rPr>
                <w:sz w:val="16"/>
                <w:szCs w:val="16"/>
              </w:rPr>
            </w:pPr>
            <w:r w:rsidRPr="007F50DB">
              <w:rPr>
                <w:sz w:val="16"/>
                <w:szCs w:val="16"/>
              </w:rPr>
              <w:t>Provide and promote qualitative and quantitative empirical evidence on the gendered nature of violence against women</w:t>
            </w:r>
            <w:r w:rsidR="002865C1">
              <w:rPr>
                <w:sz w:val="16"/>
                <w:szCs w:val="16"/>
              </w:rPr>
              <w:t>.</w:t>
            </w:r>
          </w:p>
          <w:p w14:paraId="685C0EB7" w14:textId="619F2859" w:rsidR="00BE0A7C" w:rsidRPr="007F50DB" w:rsidDel="0076171C" w:rsidRDefault="00B270AE" w:rsidP="000F1F81">
            <w:pPr>
              <w:pStyle w:val="Monitoringguidetext"/>
              <w:numPr>
                <w:ilvl w:val="0"/>
                <w:numId w:val="29"/>
              </w:numPr>
              <w:ind w:left="174" w:hanging="218"/>
              <w:rPr>
                <w:sz w:val="16"/>
                <w:szCs w:val="16"/>
              </w:rPr>
            </w:pPr>
            <w:r w:rsidRPr="007F50DB">
              <w:rPr>
                <w:sz w:val="16"/>
                <w:szCs w:val="16"/>
              </w:rPr>
              <w:t xml:space="preserve">Promote input of researchers, policymakers and advocates and acknowledge their expertise. </w:t>
            </w:r>
          </w:p>
        </w:tc>
      </w:tr>
      <w:tr w:rsidR="00B270AE" w:rsidRPr="00507B50" w14:paraId="56E58193" w14:textId="77777777" w:rsidTr="007F50DB">
        <w:trPr>
          <w:trHeight w:val="351"/>
        </w:trPr>
        <w:tc>
          <w:tcPr>
            <w:tcW w:w="0" w:type="dxa"/>
          </w:tcPr>
          <w:p w14:paraId="4D92F240" w14:textId="77777777" w:rsidR="00B270AE" w:rsidRPr="007F50DB" w:rsidRDefault="00B270AE" w:rsidP="008E06F4">
            <w:pPr>
              <w:pStyle w:val="Monitoringguidetext"/>
              <w:rPr>
                <w:b/>
                <w:bCs/>
                <w:i/>
                <w:iCs/>
                <w:sz w:val="16"/>
                <w:szCs w:val="16"/>
              </w:rPr>
            </w:pPr>
            <w:r w:rsidRPr="007F50DB">
              <w:rPr>
                <w:b/>
                <w:bCs/>
                <w:i/>
                <w:iCs/>
                <w:sz w:val="16"/>
                <w:szCs w:val="16"/>
              </w:rPr>
              <w:t xml:space="preserve">Disavowal </w:t>
            </w:r>
          </w:p>
          <w:p w14:paraId="19646954" w14:textId="4E297687" w:rsidR="00B270AE" w:rsidRPr="007F50DB" w:rsidRDefault="00B270AE" w:rsidP="007F50DB">
            <w:pPr>
              <w:pStyle w:val="Monitoringguidetext"/>
              <w:numPr>
                <w:ilvl w:val="0"/>
                <w:numId w:val="29"/>
              </w:numPr>
              <w:ind w:left="174" w:hanging="218"/>
              <w:rPr>
                <w:sz w:val="16"/>
                <w:szCs w:val="16"/>
              </w:rPr>
            </w:pPr>
            <w:r w:rsidRPr="007F50DB">
              <w:rPr>
                <w:sz w:val="16"/>
                <w:szCs w:val="16"/>
              </w:rPr>
              <w:t>Refusal to accept responsibility to address the problem or participate in the change proces</w:t>
            </w:r>
            <w:r w:rsidR="002865C1">
              <w:rPr>
                <w:sz w:val="16"/>
                <w:szCs w:val="16"/>
              </w:rPr>
              <w:t>s.</w:t>
            </w:r>
          </w:p>
        </w:tc>
        <w:tc>
          <w:tcPr>
            <w:tcW w:w="0" w:type="dxa"/>
          </w:tcPr>
          <w:p w14:paraId="3C297A75" w14:textId="77777777" w:rsidR="00B270AE" w:rsidRPr="007F50DB" w:rsidRDefault="00B270AE" w:rsidP="008E06F4">
            <w:pPr>
              <w:pStyle w:val="Monitoringguidetext"/>
              <w:rPr>
                <w:b/>
                <w:bCs/>
                <w:i/>
                <w:iCs/>
                <w:sz w:val="16"/>
                <w:szCs w:val="16"/>
              </w:rPr>
            </w:pPr>
            <w:r w:rsidRPr="007F50DB">
              <w:rPr>
                <w:b/>
                <w:bCs/>
                <w:i/>
                <w:iCs/>
                <w:sz w:val="16"/>
                <w:szCs w:val="16"/>
              </w:rPr>
              <w:t>Affirming and avowing</w:t>
            </w:r>
          </w:p>
          <w:p w14:paraId="1E4BA429" w14:textId="39BDC2E4" w:rsidR="00BE0A7C" w:rsidRPr="007F50DB" w:rsidDel="0076171C" w:rsidRDefault="00B270AE" w:rsidP="007F50DB">
            <w:pPr>
              <w:pStyle w:val="Monitoringguidetext"/>
              <w:numPr>
                <w:ilvl w:val="0"/>
                <w:numId w:val="30"/>
              </w:numPr>
              <w:ind w:left="182" w:hanging="218"/>
              <w:rPr>
                <w:sz w:val="16"/>
                <w:szCs w:val="16"/>
              </w:rPr>
            </w:pPr>
            <w:r w:rsidRPr="007F50DB">
              <w:rPr>
                <w:sz w:val="16"/>
                <w:szCs w:val="16"/>
              </w:rPr>
              <w:t xml:space="preserve">Affirm the importance of accepting responsibility for challenging the gendered drivers of violence and for owning the issue (including the need to be self-reflective of complicity in gender inequality and other reinforcing factors such as racism, ableism and homophobia that contribute to violence against women). </w:t>
            </w:r>
          </w:p>
        </w:tc>
      </w:tr>
      <w:tr w:rsidR="00B270AE" w:rsidRPr="00507B50" w14:paraId="1BF5037B" w14:textId="77777777" w:rsidTr="007F50DB">
        <w:trPr>
          <w:trHeight w:val="331"/>
        </w:trPr>
        <w:tc>
          <w:tcPr>
            <w:tcW w:w="0" w:type="dxa"/>
          </w:tcPr>
          <w:p w14:paraId="3DA8C596" w14:textId="77777777" w:rsidR="00B270AE" w:rsidRPr="007F50DB" w:rsidRDefault="00B270AE" w:rsidP="000F1F81">
            <w:pPr>
              <w:pStyle w:val="Monitoringguidetext"/>
              <w:rPr>
                <w:b/>
                <w:bCs/>
                <w:i/>
                <w:iCs/>
                <w:sz w:val="16"/>
                <w:szCs w:val="16"/>
              </w:rPr>
            </w:pPr>
            <w:r w:rsidRPr="007F50DB">
              <w:rPr>
                <w:b/>
                <w:bCs/>
                <w:i/>
                <w:iCs/>
                <w:sz w:val="16"/>
                <w:szCs w:val="16"/>
              </w:rPr>
              <w:t xml:space="preserve">Inaction </w:t>
            </w:r>
          </w:p>
          <w:p w14:paraId="0EB0D586" w14:textId="77777777" w:rsidR="00B270AE" w:rsidRPr="007F50DB" w:rsidRDefault="00B270AE" w:rsidP="007F50DB">
            <w:pPr>
              <w:pStyle w:val="Monitoringguidetext"/>
              <w:numPr>
                <w:ilvl w:val="0"/>
                <w:numId w:val="30"/>
              </w:numPr>
              <w:ind w:left="182" w:hanging="218"/>
              <w:rPr>
                <w:sz w:val="16"/>
                <w:szCs w:val="16"/>
              </w:rPr>
            </w:pPr>
            <w:r w:rsidRPr="007F50DB">
              <w:rPr>
                <w:sz w:val="16"/>
                <w:szCs w:val="16"/>
              </w:rPr>
              <w:t>The refusal or failure to implement or progress towards the goal of gender equality by excusing inaction (</w:t>
            </w:r>
            <w:proofErr w:type="gramStart"/>
            <w:r w:rsidRPr="007F50DB">
              <w:rPr>
                <w:sz w:val="16"/>
                <w:szCs w:val="16"/>
              </w:rPr>
              <w:t>e.g.</w:t>
            </w:r>
            <w:proofErr w:type="gramEnd"/>
            <w:r w:rsidRPr="007F50DB">
              <w:rPr>
                <w:sz w:val="16"/>
                <w:szCs w:val="16"/>
              </w:rPr>
              <w:t xml:space="preserve"> ‘it is not a priority’) or delaying or blocking action (e.g. ‘it’s unnecessary’ or ‘there are not enough resources’).</w:t>
            </w:r>
          </w:p>
        </w:tc>
        <w:tc>
          <w:tcPr>
            <w:tcW w:w="0" w:type="dxa"/>
          </w:tcPr>
          <w:p w14:paraId="30FC3AD7" w14:textId="77777777" w:rsidR="00B270AE" w:rsidRPr="007F50DB" w:rsidRDefault="00B270AE" w:rsidP="008E06F4">
            <w:pPr>
              <w:pStyle w:val="Monitoringguidetext"/>
              <w:rPr>
                <w:b/>
                <w:bCs/>
                <w:i/>
                <w:iCs/>
                <w:sz w:val="16"/>
                <w:szCs w:val="16"/>
              </w:rPr>
            </w:pPr>
            <w:proofErr w:type="gramStart"/>
            <w:r w:rsidRPr="007F50DB">
              <w:rPr>
                <w:b/>
                <w:bCs/>
                <w:i/>
                <w:iCs/>
                <w:sz w:val="16"/>
                <w:szCs w:val="16"/>
              </w:rPr>
              <w:t>Taking action</w:t>
            </w:r>
            <w:proofErr w:type="gramEnd"/>
          </w:p>
          <w:p w14:paraId="7BA5D006" w14:textId="77777777" w:rsidR="00B270AE" w:rsidRPr="007F50DB" w:rsidRDefault="00B270AE" w:rsidP="00BE0A7C">
            <w:pPr>
              <w:pStyle w:val="Monitoringguidetext"/>
              <w:numPr>
                <w:ilvl w:val="0"/>
                <w:numId w:val="29"/>
              </w:numPr>
              <w:ind w:left="174" w:hanging="218"/>
              <w:rPr>
                <w:i/>
                <w:iCs/>
                <w:sz w:val="16"/>
                <w:szCs w:val="16"/>
              </w:rPr>
            </w:pPr>
            <w:r w:rsidRPr="007F50DB">
              <w:rPr>
                <w:sz w:val="16"/>
                <w:szCs w:val="16"/>
              </w:rPr>
              <w:t xml:space="preserve">Take steps to unblock barriers to addressing the gendered drivers of violence based on evidence, best-practice and policy and integrating gender equality into organisations and institutions. This might involve heightening the priority given to the issue, persuading </w:t>
            </w:r>
            <w:proofErr w:type="gramStart"/>
            <w:r w:rsidRPr="007F50DB">
              <w:rPr>
                <w:sz w:val="16"/>
                <w:szCs w:val="16"/>
              </w:rPr>
              <w:t>leaders</w:t>
            </w:r>
            <w:proofErr w:type="gramEnd"/>
            <w:r w:rsidRPr="007F50DB">
              <w:rPr>
                <w:sz w:val="16"/>
                <w:szCs w:val="16"/>
              </w:rPr>
              <w:t xml:space="preserve"> and finding alternative resources.</w:t>
            </w:r>
          </w:p>
          <w:p w14:paraId="576A16AE" w14:textId="7D352A54" w:rsidR="00BE0A7C" w:rsidRPr="007F50DB" w:rsidDel="0076171C" w:rsidRDefault="00BE0A7C" w:rsidP="007F50DB">
            <w:pPr>
              <w:pStyle w:val="Monitoringguidetext"/>
              <w:ind w:left="174"/>
              <w:rPr>
                <w:i/>
                <w:iCs/>
                <w:sz w:val="16"/>
                <w:szCs w:val="16"/>
              </w:rPr>
            </w:pPr>
          </w:p>
        </w:tc>
      </w:tr>
      <w:tr w:rsidR="00B270AE" w:rsidRPr="00507B50" w14:paraId="5DC64F8A" w14:textId="77777777" w:rsidTr="007F50DB">
        <w:trPr>
          <w:trHeight w:val="331"/>
        </w:trPr>
        <w:tc>
          <w:tcPr>
            <w:tcW w:w="0" w:type="dxa"/>
          </w:tcPr>
          <w:p w14:paraId="2193393D" w14:textId="77777777" w:rsidR="00B270AE" w:rsidRPr="007F50DB" w:rsidRDefault="00B270AE" w:rsidP="008E06F4">
            <w:pPr>
              <w:pStyle w:val="Monitoringguidetext"/>
              <w:rPr>
                <w:b/>
                <w:bCs/>
                <w:i/>
                <w:iCs/>
                <w:sz w:val="16"/>
                <w:szCs w:val="16"/>
              </w:rPr>
            </w:pPr>
            <w:r w:rsidRPr="007F50DB">
              <w:rPr>
                <w:b/>
                <w:bCs/>
                <w:i/>
                <w:iCs/>
                <w:sz w:val="16"/>
                <w:szCs w:val="16"/>
              </w:rPr>
              <w:t>Appeasement</w:t>
            </w:r>
          </w:p>
          <w:p w14:paraId="28078B70" w14:textId="77777777" w:rsidR="00B270AE" w:rsidRPr="007F50DB" w:rsidRDefault="00B270AE" w:rsidP="007F50DB">
            <w:pPr>
              <w:pStyle w:val="Monitoringguidetext"/>
              <w:numPr>
                <w:ilvl w:val="0"/>
                <w:numId w:val="30"/>
              </w:numPr>
              <w:ind w:left="182" w:hanging="218"/>
              <w:rPr>
                <w:sz w:val="16"/>
                <w:szCs w:val="16"/>
              </w:rPr>
            </w:pPr>
            <w:r w:rsidRPr="007F50DB">
              <w:rPr>
                <w:sz w:val="16"/>
                <w:szCs w:val="16"/>
              </w:rPr>
              <w:t>Placating or pacifying those advocating for change while simultaneously putting off or limiting any meaningful action and impact.</w:t>
            </w:r>
          </w:p>
        </w:tc>
        <w:tc>
          <w:tcPr>
            <w:tcW w:w="0" w:type="dxa"/>
          </w:tcPr>
          <w:p w14:paraId="447D1CF5" w14:textId="77777777" w:rsidR="00B270AE" w:rsidRPr="007F50DB" w:rsidRDefault="00B270AE" w:rsidP="008E06F4">
            <w:pPr>
              <w:pStyle w:val="Monitoringguidetext"/>
              <w:rPr>
                <w:b/>
                <w:bCs/>
                <w:i/>
                <w:iCs/>
                <w:sz w:val="16"/>
                <w:szCs w:val="16"/>
              </w:rPr>
            </w:pPr>
            <w:r w:rsidRPr="007F50DB">
              <w:rPr>
                <w:b/>
                <w:bCs/>
                <w:i/>
                <w:iCs/>
                <w:sz w:val="16"/>
                <w:szCs w:val="16"/>
              </w:rPr>
              <w:t>Engaging and prioritising</w:t>
            </w:r>
          </w:p>
          <w:p w14:paraId="16196742" w14:textId="77777777" w:rsidR="00B270AE" w:rsidRPr="007F50DB" w:rsidRDefault="00B270AE" w:rsidP="00BE0A7C">
            <w:pPr>
              <w:pStyle w:val="Monitoringguidetext"/>
              <w:numPr>
                <w:ilvl w:val="0"/>
                <w:numId w:val="30"/>
              </w:numPr>
              <w:ind w:left="182" w:hanging="218"/>
              <w:rPr>
                <w:sz w:val="16"/>
                <w:szCs w:val="16"/>
              </w:rPr>
            </w:pPr>
            <w:r w:rsidRPr="007F50DB">
              <w:rPr>
                <w:sz w:val="16"/>
                <w:szCs w:val="16"/>
              </w:rPr>
              <w:t xml:space="preserve">Engage genuinely and respectfully with those advocating for change, amplifying their </w:t>
            </w:r>
            <w:proofErr w:type="gramStart"/>
            <w:r w:rsidRPr="007F50DB">
              <w:rPr>
                <w:sz w:val="16"/>
                <w:szCs w:val="16"/>
              </w:rPr>
              <w:t>voices</w:t>
            </w:r>
            <w:proofErr w:type="gramEnd"/>
            <w:r w:rsidRPr="007F50DB">
              <w:rPr>
                <w:sz w:val="16"/>
                <w:szCs w:val="16"/>
              </w:rPr>
              <w:t xml:space="preserve"> and becoming a champion and ally.</w:t>
            </w:r>
          </w:p>
          <w:p w14:paraId="0ECCB19B" w14:textId="7D468997" w:rsidR="00BE0A7C" w:rsidRPr="007F50DB" w:rsidDel="0076171C" w:rsidRDefault="00BE0A7C" w:rsidP="007F50DB">
            <w:pPr>
              <w:pStyle w:val="Monitoringguidetext"/>
              <w:ind w:left="182"/>
              <w:rPr>
                <w:sz w:val="16"/>
                <w:szCs w:val="16"/>
              </w:rPr>
            </w:pPr>
          </w:p>
        </w:tc>
      </w:tr>
      <w:tr w:rsidR="00B270AE" w:rsidRPr="00507B50" w14:paraId="1553421F" w14:textId="77777777" w:rsidTr="007F50DB">
        <w:trPr>
          <w:trHeight w:val="331"/>
        </w:trPr>
        <w:tc>
          <w:tcPr>
            <w:tcW w:w="0" w:type="dxa"/>
          </w:tcPr>
          <w:p w14:paraId="1BE63EDF" w14:textId="77777777" w:rsidR="00B270AE" w:rsidRPr="007F50DB" w:rsidRDefault="00B270AE" w:rsidP="008E06F4">
            <w:pPr>
              <w:pStyle w:val="Monitoringguidetext"/>
              <w:rPr>
                <w:b/>
                <w:bCs/>
                <w:i/>
                <w:iCs/>
                <w:sz w:val="16"/>
                <w:szCs w:val="16"/>
              </w:rPr>
            </w:pPr>
            <w:r w:rsidRPr="007F50DB">
              <w:rPr>
                <w:b/>
                <w:bCs/>
                <w:i/>
                <w:iCs/>
                <w:sz w:val="16"/>
                <w:szCs w:val="16"/>
              </w:rPr>
              <w:t>Appropriation</w:t>
            </w:r>
          </w:p>
          <w:p w14:paraId="6B06AD67" w14:textId="357E84AF" w:rsidR="00B270AE" w:rsidRPr="007F50DB" w:rsidRDefault="00B270AE" w:rsidP="007F50DB">
            <w:pPr>
              <w:pStyle w:val="Monitoringguidetext"/>
              <w:numPr>
                <w:ilvl w:val="0"/>
                <w:numId w:val="30"/>
              </w:numPr>
              <w:rPr>
                <w:sz w:val="16"/>
                <w:szCs w:val="16"/>
              </w:rPr>
            </w:pPr>
            <w:r w:rsidRPr="007F50DB">
              <w:rPr>
                <w:sz w:val="16"/>
                <w:szCs w:val="16"/>
              </w:rPr>
              <w:t>Simulating change while covertly undermining it.</w:t>
            </w:r>
          </w:p>
        </w:tc>
        <w:tc>
          <w:tcPr>
            <w:tcW w:w="0" w:type="dxa"/>
          </w:tcPr>
          <w:p w14:paraId="7A3731B0" w14:textId="77777777" w:rsidR="00B270AE" w:rsidRPr="007F50DB" w:rsidRDefault="00B270AE" w:rsidP="000F1F81">
            <w:pPr>
              <w:pStyle w:val="Monitoringguidetext"/>
              <w:rPr>
                <w:b/>
                <w:bCs/>
                <w:sz w:val="16"/>
                <w:szCs w:val="16"/>
              </w:rPr>
            </w:pPr>
            <w:r w:rsidRPr="007F50DB">
              <w:rPr>
                <w:b/>
                <w:bCs/>
                <w:sz w:val="16"/>
                <w:szCs w:val="16"/>
              </w:rPr>
              <w:t>Ensuring transparency and supporting implementation</w:t>
            </w:r>
          </w:p>
          <w:p w14:paraId="327A3515" w14:textId="1DDA85BE" w:rsidR="00BE0A7C" w:rsidRPr="007F50DB" w:rsidDel="0076171C" w:rsidRDefault="00B270AE" w:rsidP="007F50DB">
            <w:pPr>
              <w:pStyle w:val="Monitoringguidetext"/>
              <w:numPr>
                <w:ilvl w:val="0"/>
                <w:numId w:val="31"/>
              </w:numPr>
              <w:ind w:left="174" w:hanging="218"/>
              <w:rPr>
                <w:sz w:val="16"/>
                <w:szCs w:val="16"/>
              </w:rPr>
            </w:pPr>
            <w:r w:rsidRPr="007F50DB">
              <w:rPr>
                <w:sz w:val="16"/>
                <w:szCs w:val="16"/>
              </w:rPr>
              <w:t xml:space="preserve">Expose counterproductive action and operationalise genuine long-term change initiatives through achievable goals and solutions with monitoring and evaluation processes in place. </w:t>
            </w:r>
          </w:p>
        </w:tc>
      </w:tr>
      <w:tr w:rsidR="00B270AE" w:rsidRPr="00507B50" w14:paraId="389AFBF7" w14:textId="77777777" w:rsidTr="007F50DB">
        <w:trPr>
          <w:trHeight w:val="557"/>
        </w:trPr>
        <w:tc>
          <w:tcPr>
            <w:tcW w:w="0" w:type="dxa"/>
          </w:tcPr>
          <w:p w14:paraId="361C4A6C" w14:textId="27B4FD39" w:rsidR="00B270AE" w:rsidRPr="007F50DB" w:rsidRDefault="00BE0A7C" w:rsidP="008E06F4">
            <w:pPr>
              <w:pStyle w:val="Monitoringguidetext"/>
              <w:rPr>
                <w:b/>
                <w:bCs/>
                <w:i/>
                <w:iCs/>
                <w:sz w:val="16"/>
                <w:szCs w:val="16"/>
              </w:rPr>
            </w:pPr>
            <w:r w:rsidRPr="007F50DB">
              <w:rPr>
                <w:b/>
                <w:bCs/>
                <w:i/>
                <w:iCs/>
                <w:sz w:val="16"/>
                <w:szCs w:val="16"/>
              </w:rPr>
              <w:t>Co-option</w:t>
            </w:r>
          </w:p>
          <w:p w14:paraId="765FDCAF" w14:textId="748E0624" w:rsidR="00BE0A7C" w:rsidRPr="007F50DB" w:rsidRDefault="00B270AE" w:rsidP="007F50DB">
            <w:pPr>
              <w:pStyle w:val="Monitoringguidetext"/>
              <w:numPr>
                <w:ilvl w:val="0"/>
                <w:numId w:val="31"/>
              </w:numPr>
              <w:ind w:left="174" w:hanging="218"/>
              <w:rPr>
                <w:sz w:val="16"/>
                <w:szCs w:val="16"/>
              </w:rPr>
            </w:pPr>
            <w:r w:rsidRPr="007F50DB">
              <w:rPr>
                <w:sz w:val="16"/>
                <w:szCs w:val="16"/>
              </w:rPr>
              <w:t xml:space="preserve">Using the language of progressive frameworks and goals such as ‘equality’, ‘rights’, ‘justice’, ‘needs’ and so on to defend and maintain unequal structures, </w:t>
            </w:r>
            <w:proofErr w:type="gramStart"/>
            <w:r w:rsidRPr="007F50DB">
              <w:rPr>
                <w:sz w:val="16"/>
                <w:szCs w:val="16"/>
              </w:rPr>
              <w:t>practices</w:t>
            </w:r>
            <w:proofErr w:type="gramEnd"/>
            <w:r w:rsidRPr="007F50DB">
              <w:rPr>
                <w:sz w:val="16"/>
                <w:szCs w:val="16"/>
              </w:rPr>
              <w:t xml:space="preserve"> and discriminatory status quo.</w:t>
            </w:r>
          </w:p>
        </w:tc>
        <w:tc>
          <w:tcPr>
            <w:tcW w:w="0" w:type="dxa"/>
          </w:tcPr>
          <w:p w14:paraId="56A22267" w14:textId="77777777" w:rsidR="00B270AE" w:rsidRPr="007F50DB" w:rsidRDefault="00B270AE" w:rsidP="008E06F4">
            <w:pPr>
              <w:pStyle w:val="Monitoringguidetext"/>
              <w:rPr>
                <w:b/>
                <w:bCs/>
                <w:sz w:val="16"/>
                <w:szCs w:val="16"/>
              </w:rPr>
            </w:pPr>
            <w:r w:rsidRPr="007F50DB">
              <w:rPr>
                <w:b/>
                <w:bCs/>
                <w:i/>
                <w:iCs/>
                <w:sz w:val="16"/>
                <w:szCs w:val="16"/>
              </w:rPr>
              <w:t>Positive dialogue, accountability and building solidarity</w:t>
            </w:r>
          </w:p>
          <w:p w14:paraId="250EBAF0" w14:textId="77777777" w:rsidR="00B270AE" w:rsidRPr="007F50DB" w:rsidRDefault="00B270AE" w:rsidP="00B270AE">
            <w:pPr>
              <w:pStyle w:val="Monitoringguidetext"/>
              <w:numPr>
                <w:ilvl w:val="0"/>
                <w:numId w:val="31"/>
              </w:numPr>
              <w:ind w:left="174" w:hanging="218"/>
              <w:rPr>
                <w:sz w:val="16"/>
                <w:szCs w:val="16"/>
              </w:rPr>
            </w:pPr>
            <w:r w:rsidRPr="007F50DB">
              <w:rPr>
                <w:sz w:val="16"/>
                <w:szCs w:val="16"/>
              </w:rPr>
              <w:t>Defuse or demobilise oppositional behaviours and channel energy into productive dialogue for common goals.</w:t>
            </w:r>
          </w:p>
          <w:p w14:paraId="74032B24" w14:textId="656347ED" w:rsidR="00B270AE" w:rsidRPr="007F50DB" w:rsidDel="0076171C" w:rsidRDefault="00B270AE" w:rsidP="007F50DB">
            <w:pPr>
              <w:pStyle w:val="Monitoringguidetext"/>
              <w:numPr>
                <w:ilvl w:val="0"/>
                <w:numId w:val="31"/>
              </w:numPr>
              <w:ind w:left="174" w:hanging="218"/>
              <w:rPr>
                <w:sz w:val="16"/>
                <w:szCs w:val="16"/>
              </w:rPr>
            </w:pPr>
            <w:r w:rsidRPr="007F50DB">
              <w:rPr>
                <w:sz w:val="16"/>
                <w:szCs w:val="16"/>
              </w:rPr>
              <w:t>Enable proponents of change and ensure that the voices of those most impacted (especially women and girls, victim-survivors) remain heard.  This might require critical self-reflection on power relations and privilege.</w:t>
            </w:r>
          </w:p>
        </w:tc>
      </w:tr>
      <w:tr w:rsidR="00B270AE" w:rsidRPr="00507B50" w14:paraId="689CE00A" w14:textId="77777777" w:rsidTr="007F50DB">
        <w:trPr>
          <w:trHeight w:val="331"/>
        </w:trPr>
        <w:tc>
          <w:tcPr>
            <w:tcW w:w="0" w:type="dxa"/>
          </w:tcPr>
          <w:p w14:paraId="2CC0FE2F" w14:textId="77777777" w:rsidR="00B270AE" w:rsidRPr="007F50DB" w:rsidRDefault="00B270AE" w:rsidP="008E06F4">
            <w:pPr>
              <w:pStyle w:val="Monitoringguidetext"/>
              <w:rPr>
                <w:b/>
                <w:bCs/>
                <w:i/>
                <w:iCs/>
                <w:sz w:val="16"/>
                <w:szCs w:val="16"/>
              </w:rPr>
            </w:pPr>
            <w:r w:rsidRPr="007F50DB">
              <w:rPr>
                <w:b/>
                <w:bCs/>
                <w:i/>
                <w:iCs/>
                <w:sz w:val="16"/>
                <w:szCs w:val="16"/>
              </w:rPr>
              <w:t>Repression</w:t>
            </w:r>
          </w:p>
          <w:p w14:paraId="44B93FC6" w14:textId="77777777" w:rsidR="00B270AE" w:rsidRPr="007F50DB" w:rsidRDefault="00B270AE" w:rsidP="00BE0A7C">
            <w:pPr>
              <w:pStyle w:val="Monitoringguidetext"/>
              <w:numPr>
                <w:ilvl w:val="0"/>
                <w:numId w:val="31"/>
              </w:numPr>
              <w:ind w:left="174" w:hanging="218"/>
              <w:rPr>
                <w:sz w:val="16"/>
                <w:szCs w:val="16"/>
              </w:rPr>
            </w:pPr>
            <w:r w:rsidRPr="007F50DB">
              <w:rPr>
                <w:sz w:val="16"/>
                <w:szCs w:val="16"/>
              </w:rPr>
              <w:t>The reversal or dismantling of a change initiative once implementation has begun.</w:t>
            </w:r>
          </w:p>
          <w:p w14:paraId="02E4278C" w14:textId="679B1D20" w:rsidR="00BE0A7C" w:rsidRPr="007F50DB" w:rsidRDefault="00BE0A7C" w:rsidP="007F50DB">
            <w:pPr>
              <w:pStyle w:val="Monitoringguidetext"/>
              <w:ind w:left="174"/>
              <w:rPr>
                <w:sz w:val="16"/>
                <w:szCs w:val="16"/>
              </w:rPr>
            </w:pPr>
          </w:p>
        </w:tc>
        <w:tc>
          <w:tcPr>
            <w:tcW w:w="0" w:type="dxa"/>
          </w:tcPr>
          <w:p w14:paraId="05CDCA81" w14:textId="77777777" w:rsidR="00B270AE" w:rsidRPr="007F50DB" w:rsidRDefault="00B270AE" w:rsidP="008E06F4">
            <w:pPr>
              <w:pStyle w:val="Monitoringguidetext"/>
              <w:rPr>
                <w:b/>
                <w:bCs/>
                <w:i/>
                <w:iCs/>
                <w:sz w:val="16"/>
                <w:szCs w:val="16"/>
              </w:rPr>
            </w:pPr>
            <w:r w:rsidRPr="007F50DB">
              <w:rPr>
                <w:b/>
                <w:bCs/>
                <w:i/>
                <w:iCs/>
                <w:sz w:val="16"/>
                <w:szCs w:val="16"/>
              </w:rPr>
              <w:t xml:space="preserve">Momentum and sustainability </w:t>
            </w:r>
          </w:p>
          <w:p w14:paraId="42DE6386" w14:textId="77777777" w:rsidR="00B270AE" w:rsidRPr="007F50DB" w:rsidDel="0076171C" w:rsidRDefault="00B270AE" w:rsidP="007F50DB">
            <w:pPr>
              <w:pStyle w:val="Monitoringguidetext"/>
              <w:numPr>
                <w:ilvl w:val="0"/>
                <w:numId w:val="31"/>
              </w:numPr>
              <w:ind w:left="174" w:hanging="218"/>
              <w:rPr>
                <w:sz w:val="16"/>
                <w:szCs w:val="16"/>
              </w:rPr>
            </w:pPr>
            <w:r w:rsidRPr="007F50DB">
              <w:rPr>
                <w:sz w:val="16"/>
                <w:szCs w:val="16"/>
              </w:rPr>
              <w:t>Embed primary prevention efforts in policies, plans and budgets, and otherwise integrate for long-term sustainability.</w:t>
            </w:r>
          </w:p>
        </w:tc>
      </w:tr>
      <w:tr w:rsidR="00B270AE" w:rsidRPr="00507B50" w14:paraId="76ADD309" w14:textId="77777777" w:rsidTr="007F50DB">
        <w:trPr>
          <w:trHeight w:val="331"/>
        </w:trPr>
        <w:tc>
          <w:tcPr>
            <w:tcW w:w="0" w:type="dxa"/>
          </w:tcPr>
          <w:p w14:paraId="654BBE6A" w14:textId="77777777" w:rsidR="00B270AE" w:rsidRPr="007F50DB" w:rsidRDefault="00B270AE" w:rsidP="008E06F4">
            <w:pPr>
              <w:pStyle w:val="Monitoringguidetext"/>
              <w:rPr>
                <w:b/>
                <w:bCs/>
                <w:i/>
                <w:iCs/>
                <w:sz w:val="16"/>
                <w:szCs w:val="16"/>
              </w:rPr>
            </w:pPr>
            <w:r w:rsidRPr="007F50DB">
              <w:rPr>
                <w:b/>
                <w:bCs/>
                <w:i/>
                <w:iCs/>
                <w:sz w:val="16"/>
                <w:szCs w:val="16"/>
              </w:rPr>
              <w:t>Backlash</w:t>
            </w:r>
          </w:p>
          <w:p w14:paraId="25D4E018" w14:textId="77777777" w:rsidR="00B270AE" w:rsidRPr="007F50DB" w:rsidRDefault="00B270AE" w:rsidP="007F50DB">
            <w:pPr>
              <w:pStyle w:val="Monitoringguidetext"/>
              <w:numPr>
                <w:ilvl w:val="0"/>
                <w:numId w:val="31"/>
              </w:numPr>
              <w:ind w:left="174" w:hanging="218"/>
              <w:rPr>
                <w:rFonts w:cs="Calibri"/>
                <w:sz w:val="16"/>
                <w:szCs w:val="16"/>
              </w:rPr>
            </w:pPr>
            <w:r w:rsidRPr="007F50DB">
              <w:rPr>
                <w:sz w:val="16"/>
                <w:szCs w:val="16"/>
              </w:rPr>
              <w:t xml:space="preserve">A broad range of deliberate and aggressive behaviours, discourses, actions, </w:t>
            </w:r>
            <w:proofErr w:type="gramStart"/>
            <w:r w:rsidRPr="007F50DB">
              <w:rPr>
                <w:sz w:val="16"/>
                <w:szCs w:val="16"/>
              </w:rPr>
              <w:t>practices</w:t>
            </w:r>
            <w:proofErr w:type="gramEnd"/>
            <w:r w:rsidRPr="007F50DB">
              <w:rPr>
                <w:sz w:val="16"/>
                <w:szCs w:val="16"/>
              </w:rPr>
              <w:t xml:space="preserve"> and structures that deny men’s violence against women and deliberately undermine primary prevention of efforts and gender equality goals. In its extreme forms, backlash is hostile and can involve physical, </w:t>
            </w:r>
            <w:proofErr w:type="gramStart"/>
            <w:r w:rsidRPr="007F50DB">
              <w:rPr>
                <w:sz w:val="16"/>
                <w:szCs w:val="16"/>
              </w:rPr>
              <w:t>sexual</w:t>
            </w:r>
            <w:proofErr w:type="gramEnd"/>
            <w:r w:rsidRPr="007F50DB">
              <w:rPr>
                <w:sz w:val="16"/>
                <w:szCs w:val="16"/>
              </w:rPr>
              <w:t xml:space="preserve"> and online violence and threats of violence.</w:t>
            </w:r>
            <w:r w:rsidRPr="007F50DB">
              <w:rPr>
                <w:rFonts w:cs="Calibri"/>
                <w:sz w:val="16"/>
                <w:szCs w:val="16"/>
              </w:rPr>
              <w:t xml:space="preserve"> </w:t>
            </w:r>
          </w:p>
        </w:tc>
        <w:tc>
          <w:tcPr>
            <w:tcW w:w="0" w:type="dxa"/>
          </w:tcPr>
          <w:p w14:paraId="72A5CEA9" w14:textId="77777777" w:rsidR="00B270AE" w:rsidRPr="007F50DB" w:rsidRDefault="00B270AE" w:rsidP="008E06F4">
            <w:pPr>
              <w:pStyle w:val="Monitoringguidetext"/>
              <w:rPr>
                <w:b/>
                <w:bCs/>
                <w:i/>
                <w:iCs/>
                <w:sz w:val="16"/>
                <w:szCs w:val="16"/>
              </w:rPr>
            </w:pPr>
            <w:r w:rsidRPr="007F50DB">
              <w:rPr>
                <w:b/>
                <w:bCs/>
                <w:i/>
                <w:iCs/>
                <w:sz w:val="16"/>
                <w:szCs w:val="16"/>
              </w:rPr>
              <w:t>Safety and security</w:t>
            </w:r>
          </w:p>
          <w:p w14:paraId="5DF61058" w14:textId="77777777" w:rsidR="00B270AE" w:rsidRPr="007F50DB" w:rsidRDefault="00B270AE" w:rsidP="00B270AE">
            <w:pPr>
              <w:pStyle w:val="Monitoringguidetext"/>
              <w:numPr>
                <w:ilvl w:val="0"/>
                <w:numId w:val="32"/>
              </w:numPr>
              <w:ind w:left="174" w:hanging="218"/>
              <w:rPr>
                <w:sz w:val="16"/>
                <w:szCs w:val="16"/>
              </w:rPr>
            </w:pPr>
            <w:r w:rsidRPr="007F50DB">
              <w:rPr>
                <w:sz w:val="16"/>
                <w:szCs w:val="16"/>
              </w:rPr>
              <w:t xml:space="preserve">Put in place processes to ensure the safety and security of practitioners and advocates working on primary prevention. Sometimes this means </w:t>
            </w:r>
            <w:r w:rsidRPr="007F50DB">
              <w:rPr>
                <w:sz w:val="16"/>
                <w:szCs w:val="16"/>
                <w:u w:val="single"/>
              </w:rPr>
              <w:t>not</w:t>
            </w:r>
            <w:r w:rsidRPr="007F50DB">
              <w:rPr>
                <w:sz w:val="16"/>
                <w:szCs w:val="16"/>
              </w:rPr>
              <w:t xml:space="preserve"> engaging with aggressive opponents of primary prevention of violence against women as engagement may lead to experiences of violence.</w:t>
            </w:r>
          </w:p>
          <w:p w14:paraId="43DDEFFD" w14:textId="77777777" w:rsidR="00B270AE" w:rsidRPr="007F50DB" w:rsidRDefault="00B270AE" w:rsidP="00B270AE">
            <w:pPr>
              <w:pStyle w:val="Monitoringguidetext"/>
              <w:numPr>
                <w:ilvl w:val="0"/>
                <w:numId w:val="32"/>
              </w:numPr>
              <w:ind w:left="174" w:hanging="218"/>
              <w:rPr>
                <w:sz w:val="16"/>
                <w:szCs w:val="16"/>
              </w:rPr>
            </w:pPr>
            <w:r w:rsidRPr="007F50DB">
              <w:rPr>
                <w:sz w:val="16"/>
                <w:szCs w:val="16"/>
              </w:rPr>
              <w:t>Create spaces where individuals and collectives who exhibit backlash are not amplified.</w:t>
            </w:r>
          </w:p>
          <w:p w14:paraId="01DA700E" w14:textId="77777777" w:rsidR="00B270AE" w:rsidRPr="007F50DB" w:rsidRDefault="00B270AE" w:rsidP="00B270AE">
            <w:pPr>
              <w:pStyle w:val="Monitoringguidetext"/>
              <w:numPr>
                <w:ilvl w:val="0"/>
                <w:numId w:val="32"/>
              </w:numPr>
              <w:ind w:left="174" w:hanging="218"/>
              <w:rPr>
                <w:sz w:val="16"/>
                <w:szCs w:val="16"/>
              </w:rPr>
            </w:pPr>
            <w:r w:rsidRPr="007F50DB">
              <w:rPr>
                <w:sz w:val="16"/>
                <w:szCs w:val="16"/>
              </w:rPr>
              <w:t>Re-centre the conversation around the goals</w:t>
            </w:r>
            <w:r w:rsidRPr="007F50DB">
              <w:rPr>
                <w:i/>
                <w:iCs/>
                <w:sz w:val="16"/>
                <w:szCs w:val="16"/>
              </w:rPr>
              <w:t xml:space="preserve"> </w:t>
            </w:r>
            <w:r w:rsidRPr="007F50DB">
              <w:rPr>
                <w:sz w:val="16"/>
                <w:szCs w:val="16"/>
              </w:rPr>
              <w:t>of primary prevention of violence against women.</w:t>
            </w:r>
          </w:p>
          <w:p w14:paraId="344C8597" w14:textId="11D05F08" w:rsidR="00BE0A7C" w:rsidRPr="007F50DB" w:rsidRDefault="00BE0A7C" w:rsidP="007F50DB">
            <w:pPr>
              <w:pStyle w:val="Monitoringguidetext"/>
              <w:ind w:left="174"/>
              <w:rPr>
                <w:sz w:val="16"/>
                <w:szCs w:val="16"/>
              </w:rPr>
            </w:pPr>
          </w:p>
        </w:tc>
      </w:tr>
    </w:tbl>
    <w:p w14:paraId="785FFB85" w14:textId="453AEA36" w:rsidR="00E44833" w:rsidRPr="001568F2" w:rsidRDefault="00B270AE" w:rsidP="008E06F4">
      <w:pPr>
        <w:pStyle w:val="Mainbody-Headings"/>
      </w:pPr>
      <w:bookmarkStart w:id="145" w:name="_Toc85620756"/>
      <w:bookmarkStart w:id="146" w:name="_Toc87526345"/>
      <w:r>
        <w:lastRenderedPageBreak/>
        <w:t>Part 6</w:t>
      </w:r>
      <w:r w:rsidR="00CC17BE">
        <w:t xml:space="preserve"> - </w:t>
      </w:r>
      <w:r>
        <w:t>Future opportunities</w:t>
      </w:r>
      <w:bookmarkEnd w:id="145"/>
      <w:bookmarkEnd w:id="146"/>
    </w:p>
    <w:p w14:paraId="74E3F6F6" w14:textId="77777777" w:rsidR="00B470CA" w:rsidRDefault="00B470CA" w:rsidP="00637AAE">
      <w:pPr>
        <w:pStyle w:val="BodyText1"/>
        <w:sectPr w:rsidR="00B470CA" w:rsidSect="008441EC">
          <w:type w:val="continuous"/>
          <w:pgSz w:w="11900" w:h="16850"/>
          <w:pgMar w:top="1340" w:right="1060" w:bottom="1020" w:left="860" w:header="567" w:footer="824" w:gutter="0"/>
          <w:cols w:space="720"/>
          <w:docGrid w:linePitch="299"/>
        </w:sectPr>
      </w:pPr>
    </w:p>
    <w:p w14:paraId="0869C207" w14:textId="77777777" w:rsidR="00B270AE" w:rsidRDefault="00B270AE" w:rsidP="00B270AE">
      <w:r w:rsidRPr="0067436B">
        <w:t>This research report contributes to the nascent body of evidence on resistance and backlash to gendered approaches to preventing violence against women by:</w:t>
      </w:r>
    </w:p>
    <w:p w14:paraId="5C4538F8" w14:textId="77777777" w:rsidR="00B270AE" w:rsidRPr="0067436B" w:rsidRDefault="00B270AE" w:rsidP="00B270AE"/>
    <w:p w14:paraId="66A7654C" w14:textId="77777777" w:rsidR="00B270AE" w:rsidRPr="00B270AE" w:rsidRDefault="00B270AE" w:rsidP="00B270AE">
      <w:pPr>
        <w:pStyle w:val="ListParagraph"/>
        <w:widowControl/>
        <w:numPr>
          <w:ilvl w:val="0"/>
          <w:numId w:val="34"/>
        </w:numPr>
        <w:autoSpaceDE/>
        <w:autoSpaceDN/>
        <w:spacing w:before="0" w:after="120"/>
      </w:pPr>
      <w:r w:rsidRPr="00B270AE">
        <w:t>Building on previous conceptualisations of the different forms of resistance offered by Flood et al., (2018, 2020) and other scholars working in the areas of gender and organisations (Colley et al., 2020; Williamson 2019), feminist institutionalism (</w:t>
      </w:r>
      <w:proofErr w:type="spellStart"/>
      <w:r w:rsidRPr="00B270AE">
        <w:t>Mergaert</w:t>
      </w:r>
      <w:proofErr w:type="spellEnd"/>
      <w:r w:rsidRPr="00B270AE">
        <w:t xml:space="preserve"> and Lombardo 2014; Lombardo and </w:t>
      </w:r>
      <w:proofErr w:type="spellStart"/>
      <w:r w:rsidRPr="00B270AE">
        <w:t>Mergaert</w:t>
      </w:r>
      <w:proofErr w:type="spellEnd"/>
      <w:r w:rsidRPr="00B270AE">
        <w:t xml:space="preserve"> 2013), and resistance to diversity and inclusion more broadly (</w:t>
      </w:r>
      <w:proofErr w:type="spellStart"/>
      <w:r w:rsidRPr="00B270AE">
        <w:t>Plaut</w:t>
      </w:r>
      <w:proofErr w:type="spellEnd"/>
      <w:r w:rsidRPr="00B270AE">
        <w:t xml:space="preserve"> and Thomas 2008; </w:t>
      </w:r>
      <w:proofErr w:type="spellStart"/>
      <w:r w:rsidRPr="00B270AE">
        <w:t>Plaut</w:t>
      </w:r>
      <w:proofErr w:type="spellEnd"/>
      <w:r w:rsidRPr="00B270AE">
        <w:t xml:space="preserve"> et al., 2020). </w:t>
      </w:r>
    </w:p>
    <w:p w14:paraId="3EE60155" w14:textId="1D0D5806" w:rsidR="00B270AE" w:rsidRPr="00B270AE" w:rsidRDefault="00B270AE" w:rsidP="00B270AE">
      <w:pPr>
        <w:pStyle w:val="ListParagraph"/>
        <w:widowControl/>
        <w:numPr>
          <w:ilvl w:val="0"/>
          <w:numId w:val="34"/>
        </w:numPr>
        <w:autoSpaceDE/>
        <w:autoSpaceDN/>
        <w:spacing w:before="0" w:after="120"/>
      </w:pPr>
      <w:r w:rsidRPr="00B270AE">
        <w:t xml:space="preserve">Expanding the explanation of the eight different forms of resistance (denial, disavowal, inaction, appeasement, appropriation, </w:t>
      </w:r>
      <w:r w:rsidR="002865C1" w:rsidRPr="00B270AE">
        <w:t>co-option</w:t>
      </w:r>
      <w:r w:rsidRPr="00B270AE">
        <w:t xml:space="preserve">, </w:t>
      </w:r>
      <w:proofErr w:type="gramStart"/>
      <w:r w:rsidRPr="00B270AE">
        <w:t>repression</w:t>
      </w:r>
      <w:proofErr w:type="gramEnd"/>
      <w:r w:rsidRPr="00B270AE">
        <w:t xml:space="preserve"> and backlash) by using illustrative examples gathered through </w:t>
      </w:r>
      <w:r w:rsidR="00441A5D" w:rsidRPr="00B270AE">
        <w:t>academic and grey literature as well as other forms of empirical evidence</w:t>
      </w:r>
      <w:r w:rsidR="00441A5D">
        <w:t>,</w:t>
      </w:r>
      <w:r w:rsidR="00441A5D" w:rsidRPr="00B270AE">
        <w:t xml:space="preserve"> from media reports</w:t>
      </w:r>
      <w:r w:rsidRPr="00B270AE">
        <w:t xml:space="preserve">, and </w:t>
      </w:r>
      <w:r w:rsidR="00441A5D" w:rsidRPr="00B270AE">
        <w:t>informal conversations with gendered violence prevention stakeholders</w:t>
      </w:r>
      <w:r w:rsidRPr="00B270AE">
        <w:t>.</w:t>
      </w:r>
    </w:p>
    <w:p w14:paraId="18CDE2DD" w14:textId="77777777" w:rsidR="00B270AE" w:rsidRPr="00B270AE" w:rsidRDefault="00B270AE" w:rsidP="00B270AE">
      <w:pPr>
        <w:pStyle w:val="ListParagraph"/>
        <w:widowControl/>
        <w:numPr>
          <w:ilvl w:val="0"/>
          <w:numId w:val="34"/>
        </w:numPr>
        <w:autoSpaceDE/>
        <w:autoSpaceDN/>
        <w:spacing w:before="0" w:after="120"/>
      </w:pPr>
      <w:r w:rsidRPr="00B270AE">
        <w:t xml:space="preserve">Creating a potential monitoring approach to support practitioners to better anticipate, understand and respond to resistance and backlash to primary prevention of violence against women initiatives and programs within organisations. This approach centres reflective practice and could be used and adapted to suit a range of settings. </w:t>
      </w:r>
    </w:p>
    <w:p w14:paraId="2D84E89E" w14:textId="77777777" w:rsidR="00B270AE" w:rsidRPr="0067436B" w:rsidRDefault="00B270AE" w:rsidP="00B270AE">
      <w:pPr>
        <w:pStyle w:val="ListParagraph"/>
        <w:widowControl/>
        <w:numPr>
          <w:ilvl w:val="0"/>
          <w:numId w:val="34"/>
        </w:numPr>
        <w:autoSpaceDE/>
        <w:autoSpaceDN/>
        <w:spacing w:before="0" w:after="120"/>
      </w:pPr>
      <w:r w:rsidRPr="00B270AE">
        <w:t xml:space="preserve">Offering further strategies to minimise and respond to resistance to primary prevention of violence </w:t>
      </w:r>
      <w:r w:rsidRPr="00B270AE">
        <w:t xml:space="preserve">against women in institutional and organisational settings. </w:t>
      </w:r>
    </w:p>
    <w:p w14:paraId="5EDCAEF1" w14:textId="77777777" w:rsidR="00B270AE" w:rsidRPr="0067436B" w:rsidRDefault="00B270AE" w:rsidP="00B270AE"/>
    <w:p w14:paraId="5733864B" w14:textId="77777777" w:rsidR="00B270AE" w:rsidRDefault="00B270AE" w:rsidP="00B270AE">
      <w:r w:rsidRPr="0067436B">
        <w:t xml:space="preserve">As detailed in this report, </w:t>
      </w:r>
      <w:proofErr w:type="gramStart"/>
      <w:r w:rsidRPr="0067436B">
        <w:t>resistance</w:t>
      </w:r>
      <w:proofErr w:type="gramEnd"/>
      <w:r w:rsidRPr="0067436B">
        <w:t xml:space="preserve"> and backlash to primary prevention of violence against women comes in many forms. It is primarily in reaction to activism, advocacy and interventions that challenge </w:t>
      </w:r>
      <w:r>
        <w:t xml:space="preserve">the kinds of </w:t>
      </w:r>
      <w:r w:rsidRPr="0067436B">
        <w:t xml:space="preserve">entrenched beliefs, norms, </w:t>
      </w:r>
      <w:r>
        <w:t xml:space="preserve">values, </w:t>
      </w:r>
      <w:proofErr w:type="gramStart"/>
      <w:r w:rsidRPr="0067436B">
        <w:t>practices</w:t>
      </w:r>
      <w:proofErr w:type="gramEnd"/>
      <w:r w:rsidRPr="0067436B">
        <w:t xml:space="preserve"> and </w:t>
      </w:r>
      <w:r>
        <w:t xml:space="preserve">power </w:t>
      </w:r>
      <w:r w:rsidRPr="0067436B">
        <w:t xml:space="preserve">structures that sustain the gendered drivers of violence. </w:t>
      </w:r>
      <w:r>
        <w:t>There is a spectrum of interconnected responses, ranging from more passive types of resistance to more active forms of resistance through to deliberate aggressive backlash.</w:t>
      </w:r>
      <w:r w:rsidRPr="0067436B">
        <w:t xml:space="preserve"> </w:t>
      </w:r>
    </w:p>
    <w:p w14:paraId="00C5185E" w14:textId="77777777" w:rsidR="00B270AE" w:rsidRDefault="00B270AE" w:rsidP="00B270AE"/>
    <w:p w14:paraId="53304092" w14:textId="3B5CAE41" w:rsidR="00B270AE" w:rsidRPr="0067436B" w:rsidRDefault="00B270AE" w:rsidP="00B270AE">
      <w:r w:rsidRPr="0067436B">
        <w:t xml:space="preserve">At the passive end of the spectrum, resistance manifests in commonplace, everyday ways that </w:t>
      </w:r>
      <w:r w:rsidR="00441A5D">
        <w:t xml:space="preserve">may </w:t>
      </w:r>
      <w:r>
        <w:t>seem</w:t>
      </w:r>
      <w:r w:rsidRPr="0067436B">
        <w:t xml:space="preserve"> benign; however</w:t>
      </w:r>
      <w:r>
        <w:t>,</w:t>
      </w:r>
      <w:r w:rsidRPr="0067436B">
        <w:t xml:space="preserve"> they support the other end of the spectrum that can manifest in hostile, aggressive and violent ways that pose serious risks to people’s safety. </w:t>
      </w:r>
      <w:r>
        <w:t>A</w:t>
      </w:r>
      <w:r w:rsidRPr="0067436B">
        <w:t xml:space="preserve">ddressing individual, organisational and institutional, and societal </w:t>
      </w:r>
      <w:proofErr w:type="gramStart"/>
      <w:r w:rsidRPr="0067436B">
        <w:t>resistance</w:t>
      </w:r>
      <w:proofErr w:type="gramEnd"/>
      <w:r w:rsidRPr="0067436B">
        <w:t xml:space="preserve"> and backlash to primary prevention of violence against women is vital to achieve prevention goals</w:t>
      </w:r>
      <w:r w:rsidR="00441A5D">
        <w:t>. T</w:t>
      </w:r>
      <w:r>
        <w:t>his work needs</w:t>
      </w:r>
      <w:r w:rsidRPr="0067436B">
        <w:t xml:space="preserve"> to address </w:t>
      </w:r>
      <w:r>
        <w:t>both</w:t>
      </w:r>
      <w:r w:rsidRPr="0067436B">
        <w:t xml:space="preserve"> the </w:t>
      </w:r>
      <w:r>
        <w:t>more</w:t>
      </w:r>
      <w:r w:rsidRPr="0067436B">
        <w:t xml:space="preserve"> obvious forms of anti-feminist backlash </w:t>
      </w:r>
      <w:r w:rsidRPr="0067436B">
        <w:rPr>
          <w:i/>
          <w:iCs/>
        </w:rPr>
        <w:t>and</w:t>
      </w:r>
      <w:r w:rsidRPr="0067436B">
        <w:t xml:space="preserve"> the </w:t>
      </w:r>
      <w:r>
        <w:t xml:space="preserve">more subtle but </w:t>
      </w:r>
      <w:r w:rsidRPr="0067436B">
        <w:t xml:space="preserve">pervasive and insidious forms of </w:t>
      </w:r>
      <w:r>
        <w:t xml:space="preserve">resistance, such as </w:t>
      </w:r>
      <w:r w:rsidRPr="0067436B">
        <w:t>denial, disavowal, co</w:t>
      </w:r>
      <w:r>
        <w:t>-</w:t>
      </w:r>
      <w:r w:rsidRPr="0067436B">
        <w:t xml:space="preserve">option and so on that </w:t>
      </w:r>
      <w:r>
        <w:t xml:space="preserve">can </w:t>
      </w:r>
      <w:r w:rsidRPr="0067436B">
        <w:t xml:space="preserve">greatly undermine prevention </w:t>
      </w:r>
      <w:r>
        <w:t xml:space="preserve">of violence against women </w:t>
      </w:r>
      <w:r w:rsidRPr="0067436B">
        <w:t xml:space="preserve">efforts. </w:t>
      </w:r>
    </w:p>
    <w:p w14:paraId="7D2A05E4" w14:textId="77777777" w:rsidR="00B270AE" w:rsidRPr="0067436B" w:rsidRDefault="00B270AE" w:rsidP="00B270AE"/>
    <w:p w14:paraId="5030E866" w14:textId="77777777" w:rsidR="00B270AE" w:rsidRDefault="00B270AE" w:rsidP="00B270AE">
      <w:r w:rsidRPr="0067436B">
        <w:t xml:space="preserve">This project has highlighted several opportunities to continue building on this emerging and necessary body </w:t>
      </w:r>
      <w:r>
        <w:t xml:space="preserve">of </w:t>
      </w:r>
      <w:r w:rsidRPr="0067436B">
        <w:t>research on resistance and backlash</w:t>
      </w:r>
      <w:r>
        <w:t>:</w:t>
      </w:r>
    </w:p>
    <w:p w14:paraId="7F507288" w14:textId="57CB6B34" w:rsidR="00B270AE" w:rsidRDefault="00B270AE" w:rsidP="00B270AE"/>
    <w:p w14:paraId="4552EC10" w14:textId="77777777" w:rsidR="00B270AE" w:rsidRPr="00020239" w:rsidRDefault="00B270AE" w:rsidP="00C4511B">
      <w:pPr>
        <w:pStyle w:val="ListParagraph"/>
        <w:widowControl/>
        <w:numPr>
          <w:ilvl w:val="0"/>
          <w:numId w:val="45"/>
        </w:numPr>
        <w:autoSpaceDE/>
        <w:autoSpaceDN/>
        <w:spacing w:before="0"/>
        <w:contextualSpacing/>
      </w:pPr>
      <w:r w:rsidRPr="0067436B">
        <w:t>This research project has contributed to enhancing understandings of resistance and backlash and how it manifests</w:t>
      </w:r>
      <w:r>
        <w:t xml:space="preserve">, but </w:t>
      </w:r>
      <w:r>
        <w:lastRenderedPageBreak/>
        <w:t>t</w:t>
      </w:r>
      <w:r w:rsidRPr="0067436B">
        <w:t xml:space="preserve">here </w:t>
      </w:r>
      <w:r>
        <w:t>is considerable scope</w:t>
      </w:r>
      <w:r w:rsidRPr="0067436B">
        <w:t xml:space="preserve"> </w:t>
      </w:r>
      <w:r>
        <w:t xml:space="preserve">to </w:t>
      </w:r>
      <w:r w:rsidRPr="0067436B">
        <w:t>continue to expand on several areas</w:t>
      </w:r>
      <w:r>
        <w:t>. Some key opportunities include:</w:t>
      </w:r>
    </w:p>
    <w:p w14:paraId="1936EF4B" w14:textId="7614F1E6" w:rsidR="00B270AE" w:rsidRDefault="00B270AE" w:rsidP="00B270AE">
      <w:pPr>
        <w:pStyle w:val="ListParagraph"/>
        <w:widowControl/>
        <w:numPr>
          <w:ilvl w:val="1"/>
          <w:numId w:val="36"/>
        </w:numPr>
        <w:autoSpaceDE/>
        <w:autoSpaceDN/>
        <w:spacing w:before="0" w:after="120"/>
        <w:ind w:left="1134" w:hanging="357"/>
      </w:pPr>
      <w:r w:rsidRPr="008D63F4">
        <w:rPr>
          <w:szCs w:val="24"/>
        </w:rPr>
        <w:t xml:space="preserve">Further consideration and </w:t>
      </w:r>
      <w:r w:rsidR="008D63F4" w:rsidRPr="00C4511B">
        <w:rPr>
          <w:rFonts w:eastAsiaTheme="minorHAnsi"/>
          <w:color w:val="000000"/>
          <w:szCs w:val="24"/>
          <w:lang w:eastAsia="en-US" w:bidi="ar-SA"/>
        </w:rPr>
        <w:t>empirical research of institutional forms of resistance and backlash</w:t>
      </w:r>
      <w:r w:rsidR="00441A5D">
        <w:t>.</w:t>
      </w:r>
      <w:r w:rsidRPr="0067436B">
        <w:t xml:space="preserve"> </w:t>
      </w:r>
    </w:p>
    <w:p w14:paraId="6B86BCAD" w14:textId="77777777" w:rsidR="00B270AE" w:rsidRDefault="00B270AE" w:rsidP="00B270AE">
      <w:pPr>
        <w:pStyle w:val="ListParagraph"/>
        <w:widowControl/>
        <w:numPr>
          <w:ilvl w:val="1"/>
          <w:numId w:val="36"/>
        </w:numPr>
        <w:autoSpaceDE/>
        <w:autoSpaceDN/>
        <w:spacing w:before="0" w:after="120"/>
        <w:ind w:left="1134" w:hanging="357"/>
      </w:pPr>
      <w:r>
        <w:t>Greater engagement with campaigns and social media moderators to understand effective ways of responding to resistance and backlash online within the community and how to identify instances of deliberate and coordina</w:t>
      </w:r>
      <w:r w:rsidRPr="003F65C2">
        <w:t>ted targeting of primary prevention campaigns by men’s rights activists</w:t>
      </w:r>
      <w:r>
        <w:t xml:space="preserve"> and other anti-feminist groups</w:t>
      </w:r>
      <w:r w:rsidRPr="003F65C2">
        <w:t xml:space="preserve">. </w:t>
      </w:r>
    </w:p>
    <w:p w14:paraId="2B012E09" w14:textId="77777777" w:rsidR="00B270AE" w:rsidRPr="004B1C27" w:rsidRDefault="00B270AE" w:rsidP="00B270AE">
      <w:pPr>
        <w:pStyle w:val="ListParagraph"/>
        <w:widowControl/>
        <w:numPr>
          <w:ilvl w:val="1"/>
          <w:numId w:val="36"/>
        </w:numPr>
        <w:autoSpaceDE/>
        <w:autoSpaceDN/>
        <w:spacing w:before="0" w:after="120"/>
        <w:ind w:left="1134" w:hanging="357"/>
      </w:pPr>
      <w:r w:rsidRPr="00A06AD9">
        <w:rPr>
          <w:rFonts w:eastAsiaTheme="minorEastAsia"/>
          <w:color w:val="201F1E"/>
        </w:rPr>
        <w:t xml:space="preserve">As discussed in Highlight Box 1 and 3, responses such as ‘not all men’, ‘what about men’ and ‘men are victims too’ to gendered approaches to violence prevention are common. There is </w:t>
      </w:r>
      <w:r>
        <w:rPr>
          <w:rFonts w:eastAsiaTheme="minorEastAsia"/>
          <w:color w:val="201F1E"/>
        </w:rPr>
        <w:t>an ongoing need</w:t>
      </w:r>
      <w:r w:rsidRPr="00A06AD9">
        <w:rPr>
          <w:rFonts w:eastAsiaTheme="minorEastAsia"/>
          <w:color w:val="201F1E"/>
        </w:rPr>
        <w:t xml:space="preserve"> to develop </w:t>
      </w:r>
      <w:r>
        <w:rPr>
          <w:rFonts w:eastAsiaTheme="minorEastAsia"/>
          <w:color w:val="201F1E"/>
        </w:rPr>
        <w:t xml:space="preserve">effective </w:t>
      </w:r>
      <w:r w:rsidRPr="00A06AD9">
        <w:rPr>
          <w:rFonts w:eastAsiaTheme="minorEastAsia"/>
          <w:color w:val="201F1E"/>
        </w:rPr>
        <w:t xml:space="preserve">ways to address </w:t>
      </w:r>
      <w:r>
        <w:rPr>
          <w:rFonts w:eastAsiaTheme="minorEastAsia"/>
          <w:color w:val="201F1E"/>
        </w:rPr>
        <w:t>and counter</w:t>
      </w:r>
      <w:r w:rsidRPr="00A06AD9">
        <w:rPr>
          <w:rFonts w:eastAsiaTheme="minorEastAsia"/>
          <w:color w:val="201F1E"/>
        </w:rPr>
        <w:t xml:space="preserve"> such responses and </w:t>
      </w:r>
      <w:r>
        <w:rPr>
          <w:rFonts w:eastAsiaTheme="minorEastAsia"/>
          <w:color w:val="201F1E"/>
        </w:rPr>
        <w:t xml:space="preserve">to </w:t>
      </w:r>
      <w:r w:rsidRPr="00A06AD9">
        <w:rPr>
          <w:rFonts w:eastAsiaTheme="minorEastAsia"/>
          <w:color w:val="201F1E"/>
        </w:rPr>
        <w:t>integrat</w:t>
      </w:r>
      <w:r>
        <w:rPr>
          <w:rFonts w:eastAsiaTheme="minorEastAsia"/>
          <w:color w:val="201F1E"/>
        </w:rPr>
        <w:t>e</w:t>
      </w:r>
      <w:r w:rsidRPr="00A06AD9">
        <w:rPr>
          <w:rFonts w:eastAsiaTheme="minorEastAsia"/>
          <w:color w:val="201F1E"/>
        </w:rPr>
        <w:t xml:space="preserve"> th</w:t>
      </w:r>
      <w:r>
        <w:rPr>
          <w:rFonts w:eastAsiaTheme="minorEastAsia"/>
          <w:color w:val="201F1E"/>
        </w:rPr>
        <w:t>ese strategies</w:t>
      </w:r>
      <w:r w:rsidRPr="00A06AD9">
        <w:rPr>
          <w:rFonts w:eastAsiaTheme="minorEastAsia"/>
          <w:color w:val="201F1E"/>
        </w:rPr>
        <w:t xml:space="preserve"> into the planning of campaigns and interventions</w:t>
      </w:r>
      <w:r>
        <w:rPr>
          <w:rFonts w:eastAsiaTheme="minorEastAsia"/>
          <w:color w:val="201F1E"/>
        </w:rPr>
        <w:t xml:space="preserve"> from the outset. This could include building on existing guidance and resources on framing primary prevention of violence against women with explicit aims to reduce resistance. </w:t>
      </w:r>
    </w:p>
    <w:p w14:paraId="674FEC67" w14:textId="77777777" w:rsidR="00B270AE" w:rsidRPr="00A06AD9" w:rsidRDefault="00B270AE" w:rsidP="00B270AE">
      <w:pPr>
        <w:pStyle w:val="ListParagraph"/>
        <w:widowControl/>
        <w:numPr>
          <w:ilvl w:val="1"/>
          <w:numId w:val="36"/>
        </w:numPr>
        <w:autoSpaceDE/>
        <w:autoSpaceDN/>
        <w:spacing w:before="0" w:after="120"/>
        <w:ind w:left="1134" w:hanging="357"/>
      </w:pPr>
      <w:r>
        <w:rPr>
          <w:rFonts w:eastAsiaTheme="minorEastAsia"/>
          <w:color w:val="201F1E"/>
        </w:rPr>
        <w:t>Expand on the proposed opposing actions/outcomes to the eight forms of resistance that have been developed here (Section 5.2.2), both conceptually and empirically.</w:t>
      </w:r>
    </w:p>
    <w:p w14:paraId="51FB8B0B" w14:textId="76C37695" w:rsidR="00CA7C75" w:rsidRPr="005101BB" w:rsidRDefault="00441A5D" w:rsidP="00C4511B">
      <w:pPr>
        <w:pStyle w:val="ListParagraph"/>
        <w:widowControl/>
        <w:numPr>
          <w:ilvl w:val="0"/>
          <w:numId w:val="45"/>
        </w:numPr>
        <w:autoSpaceDE/>
        <w:autoSpaceDN/>
        <w:spacing w:before="0"/>
        <w:contextualSpacing/>
      </w:pPr>
      <w:r>
        <w:rPr>
          <w:rFonts w:eastAsia="Calibri" w:cs="Calibri"/>
          <w:color w:val="201F1E"/>
        </w:rPr>
        <w:t>T</w:t>
      </w:r>
      <w:r w:rsidR="00CA7C75" w:rsidRPr="005101BB">
        <w:rPr>
          <w:rFonts w:eastAsia="Calibri" w:cs="Calibri"/>
          <w:color w:val="201F1E"/>
        </w:rPr>
        <w:t xml:space="preserve">he monitoring approach </w:t>
      </w:r>
      <w:r w:rsidR="00CA7C75">
        <w:rPr>
          <w:rFonts w:eastAsia="Calibri" w:cs="Calibri"/>
          <w:color w:val="201F1E"/>
        </w:rPr>
        <w:t xml:space="preserve">outlined </w:t>
      </w:r>
      <w:r w:rsidR="00CA7C75" w:rsidRPr="005101BB">
        <w:rPr>
          <w:rFonts w:eastAsia="Calibri" w:cs="Calibri"/>
          <w:color w:val="201F1E"/>
        </w:rPr>
        <w:t xml:space="preserve">in this report </w:t>
      </w:r>
      <w:r w:rsidR="00CA7C75">
        <w:rPr>
          <w:rFonts w:eastAsia="Calibri" w:cs="Calibri"/>
          <w:color w:val="201F1E"/>
        </w:rPr>
        <w:t xml:space="preserve">is </w:t>
      </w:r>
      <w:r w:rsidR="00CA7C75" w:rsidRPr="005101BB">
        <w:rPr>
          <w:rFonts w:eastAsia="Calibri" w:cs="Calibri"/>
          <w:color w:val="201F1E"/>
        </w:rPr>
        <w:t xml:space="preserve">preliminary – a </w:t>
      </w:r>
      <w:r w:rsidR="00CA7C75" w:rsidRPr="005101BB">
        <w:rPr>
          <w:rFonts w:eastAsia="Calibri" w:cs="Calibri"/>
          <w:color w:val="201F1E"/>
        </w:rPr>
        <w:t xml:space="preserve">proposed approach </w:t>
      </w:r>
      <w:r w:rsidR="00CA7C75">
        <w:rPr>
          <w:rFonts w:eastAsia="Calibri" w:cs="Calibri"/>
          <w:color w:val="201F1E"/>
        </w:rPr>
        <w:t>that will be taken forward and refined over time.</w:t>
      </w:r>
      <w:r>
        <w:rPr>
          <w:rFonts w:eastAsia="Calibri" w:cs="Calibri"/>
          <w:color w:val="201F1E"/>
        </w:rPr>
        <w:t xml:space="preserve"> As a result: </w:t>
      </w:r>
    </w:p>
    <w:p w14:paraId="3A120488" w14:textId="77777777" w:rsidR="00CA7C75" w:rsidRDefault="00CA7C75" w:rsidP="00CA7C75">
      <w:pPr>
        <w:rPr>
          <w:rFonts w:eastAsia="Calibri" w:cs="Calibri"/>
          <w:color w:val="201F1E"/>
        </w:rPr>
      </w:pPr>
    </w:p>
    <w:p w14:paraId="60449F95" w14:textId="6402D67C" w:rsidR="00CA7C75" w:rsidRPr="005101BB" w:rsidRDefault="00CA7C75" w:rsidP="00CA7C75">
      <w:pPr>
        <w:pStyle w:val="ListParagraph"/>
        <w:widowControl/>
        <w:numPr>
          <w:ilvl w:val="0"/>
          <w:numId w:val="39"/>
        </w:numPr>
        <w:autoSpaceDE/>
        <w:autoSpaceDN/>
        <w:spacing w:before="0" w:after="120"/>
      </w:pPr>
      <w:r w:rsidRPr="005101BB">
        <w:rPr>
          <w:rFonts w:eastAsia="Calibri" w:cs="Calibri"/>
          <w:color w:val="201F1E"/>
        </w:rPr>
        <w:t xml:space="preserve">There are opportunities to work with practitioners from various settings to implement, test, </w:t>
      </w:r>
      <w:r>
        <w:rPr>
          <w:rFonts w:eastAsia="Calibri" w:cs="Calibri"/>
          <w:color w:val="201F1E"/>
        </w:rPr>
        <w:t xml:space="preserve">and </w:t>
      </w:r>
      <w:r w:rsidRPr="005101BB">
        <w:rPr>
          <w:rFonts w:eastAsia="Calibri" w:cs="Calibri"/>
          <w:color w:val="201F1E"/>
        </w:rPr>
        <w:t>refine</w:t>
      </w:r>
      <w:r>
        <w:rPr>
          <w:rFonts w:eastAsia="Calibri" w:cs="Calibri"/>
          <w:color w:val="201F1E"/>
        </w:rPr>
        <w:t xml:space="preserve"> the monitoring </w:t>
      </w:r>
      <w:r w:rsidR="002865C1">
        <w:rPr>
          <w:rFonts w:eastAsia="Calibri" w:cs="Calibri"/>
          <w:color w:val="201F1E"/>
        </w:rPr>
        <w:t>approach,</w:t>
      </w:r>
      <w:r w:rsidRPr="005101BB">
        <w:rPr>
          <w:rFonts w:eastAsia="Calibri" w:cs="Calibri"/>
          <w:color w:val="201F1E"/>
        </w:rPr>
        <w:t xml:space="preserve"> </w:t>
      </w:r>
      <w:proofErr w:type="gramStart"/>
      <w:r w:rsidRPr="005101BB">
        <w:rPr>
          <w:rFonts w:eastAsia="Calibri" w:cs="Calibri"/>
          <w:color w:val="201F1E"/>
        </w:rPr>
        <w:t>in order to</w:t>
      </w:r>
      <w:proofErr w:type="gramEnd"/>
      <w:r w:rsidRPr="005101BB">
        <w:rPr>
          <w:rFonts w:eastAsia="Calibri" w:cs="Calibri"/>
          <w:color w:val="201F1E"/>
        </w:rPr>
        <w:t xml:space="preserve"> ground it in best practice. This may include the establishment of some common qualitative indicators to track resistance and backlash to primary prevention of violence against women.</w:t>
      </w:r>
    </w:p>
    <w:p w14:paraId="43AB1096" w14:textId="4A9E33D7" w:rsidR="00CA7C75" w:rsidRPr="00C7793C" w:rsidRDefault="00CA7C75" w:rsidP="00CA7C75">
      <w:pPr>
        <w:pStyle w:val="ListParagraph"/>
        <w:widowControl/>
        <w:numPr>
          <w:ilvl w:val="0"/>
          <w:numId w:val="39"/>
        </w:numPr>
        <w:autoSpaceDE/>
        <w:autoSpaceDN/>
        <w:spacing w:before="0" w:after="120"/>
      </w:pPr>
      <w:r>
        <w:rPr>
          <w:rFonts w:eastAsia="Calibri" w:cs="Calibri"/>
          <w:color w:val="201F1E"/>
        </w:rPr>
        <w:t xml:space="preserve">Testing </w:t>
      </w:r>
      <w:r w:rsidRPr="0067436B">
        <w:rPr>
          <w:rFonts w:eastAsia="Calibri" w:cs="Calibri"/>
          <w:color w:val="201F1E"/>
        </w:rPr>
        <w:t xml:space="preserve">the </w:t>
      </w:r>
      <w:r w:rsidR="00441A5D">
        <w:rPr>
          <w:rFonts w:eastAsia="Calibri" w:cs="Calibri"/>
          <w:color w:val="201F1E"/>
        </w:rPr>
        <w:t>monitoring approach</w:t>
      </w:r>
      <w:r w:rsidR="00441A5D" w:rsidRPr="0067436B">
        <w:rPr>
          <w:rFonts w:eastAsia="Calibri" w:cs="Calibri"/>
          <w:color w:val="201F1E"/>
        </w:rPr>
        <w:t xml:space="preserve"> </w:t>
      </w:r>
      <w:r>
        <w:rPr>
          <w:rFonts w:eastAsia="Calibri" w:cs="Calibri"/>
          <w:color w:val="201F1E"/>
        </w:rPr>
        <w:t xml:space="preserve">in a range of </w:t>
      </w:r>
      <w:r w:rsidRPr="00CA7C75">
        <w:t>settings</w:t>
      </w:r>
      <w:r>
        <w:rPr>
          <w:rFonts w:eastAsia="Calibri" w:cs="Calibri"/>
          <w:color w:val="201F1E"/>
        </w:rPr>
        <w:t xml:space="preserve"> such as workplaces, education settings and public sectors (e.g., local, </w:t>
      </w:r>
      <w:proofErr w:type="gramStart"/>
      <w:r>
        <w:rPr>
          <w:rFonts w:eastAsia="Calibri" w:cs="Calibri"/>
          <w:color w:val="201F1E"/>
        </w:rPr>
        <w:t>state</w:t>
      </w:r>
      <w:proofErr w:type="gramEnd"/>
      <w:r>
        <w:rPr>
          <w:rFonts w:eastAsia="Calibri" w:cs="Calibri"/>
          <w:color w:val="201F1E"/>
        </w:rPr>
        <w:t xml:space="preserve"> and federal government). This </w:t>
      </w:r>
      <w:r w:rsidRPr="0067436B">
        <w:rPr>
          <w:rFonts w:eastAsia="Calibri" w:cs="Calibri"/>
          <w:color w:val="201F1E"/>
        </w:rPr>
        <w:t xml:space="preserve">will </w:t>
      </w:r>
      <w:r>
        <w:rPr>
          <w:rFonts w:eastAsia="Calibri" w:cs="Calibri"/>
          <w:color w:val="201F1E"/>
        </w:rPr>
        <w:t>both</w:t>
      </w:r>
      <w:r w:rsidRPr="0067436B">
        <w:rPr>
          <w:rFonts w:eastAsia="Calibri" w:cs="Calibri"/>
          <w:color w:val="201F1E"/>
        </w:rPr>
        <w:t xml:space="preserve"> </w:t>
      </w:r>
      <w:r>
        <w:rPr>
          <w:rFonts w:eastAsia="Calibri" w:cs="Calibri"/>
          <w:color w:val="201F1E"/>
        </w:rPr>
        <w:t>test the applicability and suitability of the monitoring approach and generate</w:t>
      </w:r>
      <w:r w:rsidRPr="0067436B">
        <w:rPr>
          <w:rFonts w:eastAsia="Calibri" w:cs="Calibri"/>
          <w:color w:val="201F1E"/>
        </w:rPr>
        <w:t xml:space="preserve"> further empirical evidence </w:t>
      </w:r>
      <w:r>
        <w:rPr>
          <w:rFonts w:eastAsia="Calibri" w:cs="Calibri"/>
          <w:color w:val="201F1E"/>
        </w:rPr>
        <w:t xml:space="preserve">of the forms and manifestations of resistance, which can be used to improve and refine the tool. </w:t>
      </w:r>
    </w:p>
    <w:p w14:paraId="14A83531" w14:textId="77777777" w:rsidR="00CA7C75" w:rsidRPr="00C7793C" w:rsidRDefault="00CA7C75" w:rsidP="00CA7C75">
      <w:pPr>
        <w:pStyle w:val="ListParagraph"/>
        <w:widowControl/>
        <w:numPr>
          <w:ilvl w:val="0"/>
          <w:numId w:val="39"/>
        </w:numPr>
        <w:autoSpaceDE/>
        <w:autoSpaceDN/>
        <w:spacing w:before="0" w:after="120"/>
      </w:pPr>
      <w:r>
        <w:rPr>
          <w:rFonts w:eastAsia="Calibri" w:cs="Calibri"/>
          <w:color w:val="201F1E"/>
        </w:rPr>
        <w:t xml:space="preserve">Testing the monitoring approach with </w:t>
      </w:r>
      <w:r w:rsidRPr="00CA7C75">
        <w:t>different</w:t>
      </w:r>
      <w:r>
        <w:rPr>
          <w:rFonts w:eastAsia="Calibri" w:cs="Calibri"/>
          <w:color w:val="201F1E"/>
        </w:rPr>
        <w:t xml:space="preserve"> audiences, </w:t>
      </w:r>
      <w:proofErr w:type="gramStart"/>
      <w:r>
        <w:rPr>
          <w:rFonts w:eastAsia="Calibri" w:cs="Calibri"/>
          <w:color w:val="201F1E"/>
        </w:rPr>
        <w:t>communities</w:t>
      </w:r>
      <w:proofErr w:type="gramEnd"/>
      <w:r>
        <w:rPr>
          <w:rFonts w:eastAsia="Calibri" w:cs="Calibri"/>
          <w:color w:val="201F1E"/>
        </w:rPr>
        <w:t xml:space="preserve"> and population groups and as part a range of different gendered violence prevention efforts. </w:t>
      </w:r>
    </w:p>
    <w:p w14:paraId="140D6575" w14:textId="77777777" w:rsidR="00CA7C75" w:rsidRPr="0067436B" w:rsidRDefault="00CA7C75" w:rsidP="00CA7C75">
      <w:pPr>
        <w:pStyle w:val="ListParagraph"/>
        <w:widowControl/>
        <w:numPr>
          <w:ilvl w:val="0"/>
          <w:numId w:val="39"/>
        </w:numPr>
        <w:autoSpaceDE/>
        <w:autoSpaceDN/>
        <w:spacing w:before="0" w:after="120"/>
      </w:pPr>
      <w:r>
        <w:rPr>
          <w:rFonts w:eastAsia="Calibri" w:cs="Calibri"/>
          <w:color w:val="201F1E"/>
        </w:rPr>
        <w:t xml:space="preserve">This testing may also potentially show how resistance </w:t>
      </w:r>
      <w:r w:rsidRPr="0067436B">
        <w:rPr>
          <w:rFonts w:eastAsia="Calibri" w:cs="Calibri"/>
          <w:color w:val="201F1E"/>
        </w:rPr>
        <w:t xml:space="preserve">adapts and changes </w:t>
      </w:r>
      <w:r>
        <w:rPr>
          <w:rFonts w:eastAsia="Calibri" w:cs="Calibri"/>
          <w:color w:val="201F1E"/>
        </w:rPr>
        <w:t>across different levels and at different stages of primary prevention interventions</w:t>
      </w:r>
      <w:r w:rsidRPr="0067436B">
        <w:rPr>
          <w:rFonts w:eastAsia="Calibri" w:cs="Calibri"/>
          <w:color w:val="201F1E"/>
        </w:rPr>
        <w:t xml:space="preserve"> </w:t>
      </w:r>
      <w:r>
        <w:rPr>
          <w:rFonts w:eastAsia="Calibri" w:cs="Calibri"/>
          <w:color w:val="201F1E"/>
        </w:rPr>
        <w:t>in ways that continue to</w:t>
      </w:r>
      <w:r w:rsidRPr="0067436B">
        <w:rPr>
          <w:rFonts w:eastAsia="Calibri" w:cs="Calibri"/>
          <w:color w:val="201F1E"/>
        </w:rPr>
        <w:t xml:space="preserve"> hinder primary prevention of violence against women efforts.</w:t>
      </w:r>
    </w:p>
    <w:p w14:paraId="60F9E602" w14:textId="77777777" w:rsidR="00CA7C75" w:rsidRPr="0067436B" w:rsidRDefault="00CA7C75" w:rsidP="00CA7C75">
      <w:pPr>
        <w:pStyle w:val="ListParagraph"/>
      </w:pPr>
    </w:p>
    <w:p w14:paraId="76B9084B" w14:textId="77777777" w:rsidR="00CA7C75" w:rsidRDefault="00CA7C75" w:rsidP="00C4511B">
      <w:pPr>
        <w:pStyle w:val="ListParagraph"/>
        <w:widowControl/>
        <w:numPr>
          <w:ilvl w:val="0"/>
          <w:numId w:val="45"/>
        </w:numPr>
        <w:autoSpaceDE/>
        <w:autoSpaceDN/>
        <w:spacing w:before="0"/>
        <w:contextualSpacing/>
        <w:rPr>
          <w:rFonts w:eastAsia="Calibri" w:cs="Calibri"/>
          <w:color w:val="201F1E"/>
        </w:rPr>
      </w:pPr>
      <w:r>
        <w:rPr>
          <w:rFonts w:eastAsia="Calibri" w:cs="Calibri"/>
          <w:color w:val="201F1E"/>
        </w:rPr>
        <w:br w:type="column"/>
      </w:r>
      <w:r>
        <w:rPr>
          <w:rFonts w:eastAsia="Calibri" w:cs="Calibri"/>
          <w:color w:val="201F1E"/>
        </w:rPr>
        <w:lastRenderedPageBreak/>
        <w:t>This report has offered nuanced</w:t>
      </w:r>
      <w:r w:rsidRPr="0067436B">
        <w:rPr>
          <w:rFonts w:eastAsia="Calibri" w:cs="Calibri"/>
          <w:color w:val="201F1E"/>
        </w:rPr>
        <w:t xml:space="preserve"> examples and strategies </w:t>
      </w:r>
      <w:r>
        <w:rPr>
          <w:rFonts w:eastAsia="Calibri" w:cs="Calibri"/>
          <w:color w:val="201F1E"/>
        </w:rPr>
        <w:t xml:space="preserve">identify, </w:t>
      </w:r>
      <w:proofErr w:type="gramStart"/>
      <w:r>
        <w:rPr>
          <w:rFonts w:eastAsia="Calibri" w:cs="Calibri"/>
          <w:color w:val="201F1E"/>
        </w:rPr>
        <w:t>understand</w:t>
      </w:r>
      <w:proofErr w:type="gramEnd"/>
      <w:r w:rsidRPr="0067436B">
        <w:rPr>
          <w:rFonts w:eastAsia="Calibri" w:cs="Calibri"/>
          <w:color w:val="201F1E"/>
        </w:rPr>
        <w:t xml:space="preserve"> and respond</w:t>
      </w:r>
      <w:r>
        <w:rPr>
          <w:rFonts w:eastAsia="Calibri" w:cs="Calibri"/>
          <w:color w:val="201F1E"/>
        </w:rPr>
        <w:t xml:space="preserve"> to</w:t>
      </w:r>
      <w:r w:rsidRPr="0067436B">
        <w:rPr>
          <w:rFonts w:eastAsia="Calibri" w:cs="Calibri"/>
          <w:color w:val="201F1E"/>
        </w:rPr>
        <w:t xml:space="preserve"> resistance</w:t>
      </w:r>
      <w:r>
        <w:rPr>
          <w:rFonts w:eastAsia="Calibri" w:cs="Calibri"/>
          <w:color w:val="201F1E"/>
        </w:rPr>
        <w:t>. Components of these could be condensed and adapted</w:t>
      </w:r>
      <w:r w:rsidRPr="0067436B">
        <w:rPr>
          <w:rFonts w:eastAsia="Calibri" w:cs="Calibri"/>
          <w:color w:val="201F1E"/>
        </w:rPr>
        <w:t xml:space="preserve"> </w:t>
      </w:r>
      <w:r>
        <w:rPr>
          <w:rFonts w:eastAsia="Calibri" w:cs="Calibri"/>
          <w:color w:val="201F1E"/>
        </w:rPr>
        <w:t>to create</w:t>
      </w:r>
      <w:r w:rsidRPr="0067436B">
        <w:rPr>
          <w:rFonts w:eastAsia="Calibri" w:cs="Calibri"/>
          <w:color w:val="201F1E"/>
        </w:rPr>
        <w:t xml:space="preserve"> </w:t>
      </w:r>
      <w:r>
        <w:rPr>
          <w:rFonts w:eastAsia="Calibri" w:cs="Calibri"/>
          <w:color w:val="201F1E"/>
        </w:rPr>
        <w:t xml:space="preserve">easy-to-use </w:t>
      </w:r>
      <w:r w:rsidRPr="0067436B">
        <w:rPr>
          <w:rFonts w:eastAsia="Calibri" w:cs="Calibri"/>
          <w:color w:val="201F1E"/>
        </w:rPr>
        <w:t>practical resources for the violence prevention sector</w:t>
      </w:r>
      <w:r>
        <w:rPr>
          <w:rFonts w:eastAsia="Calibri" w:cs="Calibri"/>
          <w:color w:val="201F1E"/>
        </w:rPr>
        <w:t>.</w:t>
      </w:r>
    </w:p>
    <w:p w14:paraId="154D184C" w14:textId="77777777" w:rsidR="00CA7C75" w:rsidRDefault="00CA7C75">
      <w:pPr>
        <w:rPr>
          <w:rFonts w:eastAsia="Calibri" w:cs="Calibri"/>
          <w:color w:val="201F1E"/>
        </w:rPr>
        <w:sectPr w:rsidR="00CA7C75" w:rsidSect="00CA7C75">
          <w:type w:val="continuous"/>
          <w:pgSz w:w="11900" w:h="16850"/>
          <w:pgMar w:top="1340" w:right="1060" w:bottom="1020" w:left="860" w:header="567" w:footer="824" w:gutter="0"/>
          <w:cols w:num="2" w:space="720"/>
          <w:docGrid w:linePitch="299"/>
        </w:sectPr>
      </w:pPr>
      <w:r>
        <w:rPr>
          <w:rFonts w:eastAsia="Calibri" w:cs="Calibri"/>
          <w:color w:val="201F1E"/>
        </w:rPr>
        <w:br w:type="page"/>
      </w:r>
    </w:p>
    <w:p w14:paraId="2468F74E" w14:textId="3BA81CB1" w:rsidR="00E311C3" w:rsidRPr="001568F2" w:rsidRDefault="002E4542" w:rsidP="008E06F4">
      <w:pPr>
        <w:pStyle w:val="Heading1"/>
      </w:pPr>
      <w:bookmarkStart w:id="147" w:name="_Toc85620757"/>
      <w:bookmarkStart w:id="148" w:name="_Toc87526346"/>
      <w:r w:rsidRPr="001568F2">
        <w:lastRenderedPageBreak/>
        <w:t>References</w:t>
      </w:r>
      <w:bookmarkEnd w:id="147"/>
      <w:bookmarkEnd w:id="148"/>
      <w:r w:rsidRPr="001568F2">
        <w:t xml:space="preserve"> </w:t>
      </w:r>
    </w:p>
    <w:p w14:paraId="277EEDAB" w14:textId="1C541E11" w:rsidR="00CA7C75" w:rsidRPr="00CE2D26" w:rsidRDefault="00EA14B1" w:rsidP="00CA7C75">
      <w:pPr>
        <w:pStyle w:val="NoSpacing"/>
        <w:spacing w:afterLines="120" w:after="288"/>
        <w:rPr>
          <w:rFonts w:ascii="Arial" w:hAnsi="Arial" w:cs="Arial"/>
          <w:color w:val="000000" w:themeColor="text1"/>
        </w:rPr>
      </w:pPr>
      <w:r w:rsidRPr="00CE2D26">
        <w:rPr>
          <w:rFonts w:ascii="Arial" w:hAnsi="Arial" w:cs="Arial"/>
        </w:rPr>
        <w:fldChar w:fldCharType="begin"/>
      </w:r>
      <w:r w:rsidRPr="00CE2D26">
        <w:rPr>
          <w:rFonts w:ascii="Arial" w:hAnsi="Arial" w:cs="Arial"/>
        </w:rPr>
        <w:instrText xml:space="preserve"> ADDIN EN.REFLIST </w:instrText>
      </w:r>
      <w:r w:rsidRPr="00CE2D26">
        <w:rPr>
          <w:rFonts w:ascii="Arial" w:hAnsi="Arial" w:cs="Arial"/>
        </w:rPr>
        <w:fldChar w:fldCharType="separate"/>
      </w:r>
      <w:r w:rsidR="00CA7C75" w:rsidRPr="00CE2D26">
        <w:rPr>
          <w:rFonts w:ascii="Arial" w:hAnsi="Arial" w:cs="Arial"/>
          <w:color w:val="000000" w:themeColor="text1"/>
        </w:rPr>
        <w:t xml:space="preserve">Agócs, C. (1997) ‘Institutionalized resistance to organizational change: denial, inaction and repression’, </w:t>
      </w:r>
      <w:r w:rsidR="00CA7C75" w:rsidRPr="00C4511B">
        <w:rPr>
          <w:rFonts w:ascii="Arial" w:hAnsi="Arial" w:cs="Arial"/>
          <w:i/>
          <w:iCs/>
          <w:color w:val="000000" w:themeColor="text1"/>
        </w:rPr>
        <w:t>Journal of Business Ethics</w:t>
      </w:r>
      <w:r w:rsidR="00CA7C75" w:rsidRPr="00CE2D26">
        <w:rPr>
          <w:rFonts w:ascii="Arial" w:hAnsi="Arial" w:cs="Arial"/>
          <w:color w:val="000000" w:themeColor="text1"/>
        </w:rPr>
        <w:t xml:space="preserve">, 16, 917–931. </w:t>
      </w:r>
    </w:p>
    <w:p w14:paraId="33C67276"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Archer, N. (2018). ‘Feminism is cancer’: the angry backlash against our reporting on the men’s rights movement. </w:t>
      </w:r>
      <w:r w:rsidRPr="00CE2D26">
        <w:rPr>
          <w:rFonts w:ascii="Arial" w:hAnsi="Arial" w:cs="Arial"/>
          <w:i/>
          <w:iCs/>
          <w:color w:val="000000" w:themeColor="text1"/>
        </w:rPr>
        <w:t>Open Democracy</w:t>
      </w:r>
      <w:r w:rsidRPr="00CE2D26">
        <w:rPr>
          <w:rFonts w:ascii="Arial" w:hAnsi="Arial" w:cs="Arial"/>
          <w:color w:val="000000" w:themeColor="text1"/>
        </w:rPr>
        <w:t xml:space="preserve">. Available at: </w:t>
      </w:r>
      <w:hyperlink r:id="rId47" w:history="1">
        <w:r w:rsidRPr="00CE2D26">
          <w:rPr>
            <w:rStyle w:val="Hyperlink"/>
            <w:rFonts w:ascii="Arial" w:hAnsi="Arial" w:cs="Arial"/>
            <w:color w:val="000000" w:themeColor="text1"/>
          </w:rPr>
          <w:t>https://www.opendemocracy.net/en/5050/feminism-is-cancer-mens-rights-activists-online-backlash/</w:t>
        </w:r>
      </w:hyperlink>
      <w:r w:rsidRPr="00CE2D26">
        <w:rPr>
          <w:rFonts w:ascii="Arial" w:hAnsi="Arial" w:cs="Arial"/>
          <w:color w:val="000000" w:themeColor="text1"/>
        </w:rPr>
        <w:t xml:space="preserve">. </w:t>
      </w:r>
    </w:p>
    <w:p w14:paraId="5F21E691"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Australian Bureau of Statistics (2021) Schools (2020). https://www.abs.gov.au/statistics/people/ education/schools/latest-release</w:t>
      </w:r>
    </w:p>
    <w:p w14:paraId="32973061"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Australian Human Rights Commission (AHRC). (2020). </w:t>
      </w:r>
      <w:r w:rsidRPr="00CE2D26">
        <w:rPr>
          <w:rFonts w:ascii="Arial" w:hAnsi="Arial" w:cs="Arial"/>
          <w:i/>
          <w:iCs/>
          <w:color w:val="000000" w:themeColor="text1"/>
        </w:rPr>
        <w:t>Respect@Work: National Inquiry into Sexual Harassment in Australian Workplaces.</w:t>
      </w:r>
      <w:r w:rsidRPr="00CE2D26">
        <w:rPr>
          <w:rFonts w:ascii="Arial" w:hAnsi="Arial" w:cs="Arial"/>
          <w:color w:val="000000" w:themeColor="text1"/>
        </w:rPr>
        <w:t xml:space="preserve"> Sydney, Australia: Australian Human Rights Commission.</w:t>
      </w:r>
    </w:p>
    <w:p w14:paraId="6D27BBB2"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Baird, M., Hamilton, M., and Constantin, A. (2021). Gender equality and paid parental leave in Australia: A decade of giant leaps or baby steps?. </w:t>
      </w:r>
      <w:r w:rsidRPr="00CE2D26">
        <w:rPr>
          <w:rFonts w:ascii="Arial" w:hAnsi="Arial" w:cs="Arial"/>
          <w:i/>
          <w:iCs/>
          <w:color w:val="000000" w:themeColor="text1"/>
          <w:shd w:val="clear" w:color="auto" w:fill="FFFFFF"/>
        </w:rPr>
        <w:t>Journal of Industrial Relations</w:t>
      </w:r>
      <w:r w:rsidRPr="00CE2D26">
        <w:rPr>
          <w:rFonts w:ascii="Arial" w:hAnsi="Arial" w:cs="Arial"/>
          <w:color w:val="000000" w:themeColor="text1"/>
          <w:shd w:val="clear" w:color="auto" w:fill="FFFFFF"/>
        </w:rPr>
        <w:t>, 00221856211008219.</w:t>
      </w:r>
    </w:p>
    <w:p w14:paraId="2858A04A" w14:textId="06EE029C"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Behre, K. A. (2014). Digging Beneath the Equality Language: The Influence of the Fathers' Rights Movement on Intimate Partner Violence Public Policy Debates and Family Law Reform. </w:t>
      </w:r>
      <w:r w:rsidRPr="00CE2D26">
        <w:rPr>
          <w:rFonts w:ascii="Arial" w:hAnsi="Arial" w:cs="Arial"/>
          <w:i/>
          <w:iCs/>
          <w:color w:val="000000" w:themeColor="text1"/>
          <w:shd w:val="clear" w:color="auto" w:fill="FFFFFF"/>
        </w:rPr>
        <w:t>W</w:t>
      </w:r>
      <w:r w:rsidR="00A3250E">
        <w:rPr>
          <w:rFonts w:ascii="Arial" w:hAnsi="Arial" w:cs="Arial"/>
          <w:i/>
          <w:iCs/>
          <w:color w:val="000000" w:themeColor="text1"/>
          <w:shd w:val="clear" w:color="auto" w:fill="FFFFFF"/>
        </w:rPr>
        <w:t>illia</w:t>
      </w:r>
      <w:r w:rsidRPr="00CE2D26">
        <w:rPr>
          <w:rFonts w:ascii="Arial" w:hAnsi="Arial" w:cs="Arial"/>
          <w:i/>
          <w:iCs/>
          <w:color w:val="000000" w:themeColor="text1"/>
          <w:shd w:val="clear" w:color="auto" w:fill="FFFFFF"/>
        </w:rPr>
        <w:t>m. and Mary J</w:t>
      </w:r>
      <w:r w:rsidR="00A3250E">
        <w:rPr>
          <w:rFonts w:ascii="Arial" w:hAnsi="Arial" w:cs="Arial"/>
          <w:i/>
          <w:iCs/>
          <w:color w:val="000000" w:themeColor="text1"/>
          <w:shd w:val="clear" w:color="auto" w:fill="FFFFFF"/>
        </w:rPr>
        <w:t>ournal of</w:t>
      </w:r>
      <w:r w:rsidRPr="00CE2D26">
        <w:rPr>
          <w:rFonts w:ascii="Arial" w:hAnsi="Arial" w:cs="Arial"/>
          <w:i/>
          <w:iCs/>
          <w:color w:val="000000" w:themeColor="text1"/>
          <w:shd w:val="clear" w:color="auto" w:fill="FFFFFF"/>
        </w:rPr>
        <w:t xml:space="preserve">Women and </w:t>
      </w:r>
      <w:r w:rsidR="00A3250E">
        <w:rPr>
          <w:rFonts w:ascii="Arial" w:hAnsi="Arial" w:cs="Arial"/>
          <w:i/>
          <w:iCs/>
          <w:color w:val="000000" w:themeColor="text1"/>
          <w:shd w:val="clear" w:color="auto" w:fill="FFFFFF"/>
        </w:rPr>
        <w:t xml:space="preserve">the </w:t>
      </w:r>
      <w:r w:rsidRPr="00CE2D26">
        <w:rPr>
          <w:rFonts w:ascii="Arial" w:hAnsi="Arial" w:cs="Arial"/>
          <w:i/>
          <w:iCs/>
          <w:color w:val="000000" w:themeColor="text1"/>
          <w:shd w:val="clear" w:color="auto" w:fill="FFFFFF"/>
        </w:rPr>
        <w:t>L</w:t>
      </w:r>
      <w:r w:rsidR="00A3250E">
        <w:rPr>
          <w:rFonts w:ascii="Arial" w:hAnsi="Arial" w:cs="Arial"/>
          <w:i/>
          <w:iCs/>
          <w:color w:val="000000" w:themeColor="text1"/>
          <w:shd w:val="clear" w:color="auto" w:fill="FFFFFF"/>
        </w:rPr>
        <w:t>aw</w:t>
      </w:r>
      <w:r w:rsidRPr="00CE2D26">
        <w:rPr>
          <w:rFonts w:ascii="Arial" w:hAnsi="Arial" w:cs="Arial"/>
          <w:i/>
          <w:iCs/>
          <w:color w:val="000000" w:themeColor="text1"/>
          <w:shd w:val="clear" w:color="auto" w:fill="FFFFFF"/>
        </w:rPr>
        <w:t>.</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21</w:t>
      </w:r>
      <w:r w:rsidRPr="00CE2D26">
        <w:rPr>
          <w:rFonts w:ascii="Arial" w:hAnsi="Arial" w:cs="Arial"/>
          <w:color w:val="000000" w:themeColor="text1"/>
          <w:shd w:val="clear" w:color="auto" w:fill="FFFFFF"/>
        </w:rPr>
        <w:t>, 525.</w:t>
      </w:r>
    </w:p>
    <w:p w14:paraId="6B09FDD6"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Benschop, Y., and M. Verloo. 2012. “Gender Change, Organizational Change, and Gender Equality Strategies.” In </w:t>
      </w:r>
      <w:r w:rsidRPr="00CE2D26">
        <w:rPr>
          <w:rFonts w:ascii="Arial" w:hAnsi="Arial" w:cs="Arial"/>
          <w:i/>
          <w:iCs/>
          <w:color w:val="000000" w:themeColor="text1"/>
        </w:rPr>
        <w:t>Handbook of Gender, Work and Organization</w:t>
      </w:r>
      <w:r w:rsidRPr="00CE2D26">
        <w:rPr>
          <w:rFonts w:ascii="Arial" w:hAnsi="Arial" w:cs="Arial"/>
          <w:color w:val="000000" w:themeColor="text1"/>
        </w:rPr>
        <w:t>, edited by E. Jeanes, D. Knights, and P. Y. Martin, 277–290. West Sussex: John Wiley and Sons. </w:t>
      </w:r>
    </w:p>
    <w:p w14:paraId="795BFB77"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Blais, M., and Dupuis-Déri, F. (2012). Masculinism and the antifeminist countermovement. </w:t>
      </w:r>
      <w:r w:rsidRPr="00CE2D26">
        <w:rPr>
          <w:rFonts w:ascii="Arial" w:hAnsi="Arial" w:cs="Arial"/>
          <w:i/>
          <w:iCs/>
          <w:color w:val="000000" w:themeColor="text1"/>
          <w:shd w:val="clear" w:color="auto" w:fill="FFFFFF"/>
        </w:rPr>
        <w:t>Social Movement Studies</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11</w:t>
      </w:r>
      <w:r w:rsidRPr="00CE2D26">
        <w:rPr>
          <w:rFonts w:ascii="Arial" w:hAnsi="Arial" w:cs="Arial"/>
          <w:color w:val="000000" w:themeColor="text1"/>
          <w:shd w:val="clear" w:color="auto" w:fill="FFFFFF"/>
        </w:rPr>
        <w:t>(1), 21-39.</w:t>
      </w:r>
    </w:p>
    <w:p w14:paraId="58CB06D4"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Camilleri, O., Corrie, T., and Moore, S., (2015). </w:t>
      </w:r>
      <w:r w:rsidRPr="00CE2D26">
        <w:rPr>
          <w:rFonts w:ascii="Arial" w:hAnsi="Arial" w:cs="Arial"/>
          <w:i/>
          <w:iCs/>
          <w:color w:val="000000" w:themeColor="text1"/>
        </w:rPr>
        <w:t>Restoring Financial Safety: Legal Responses to Economic Abuse</w:t>
      </w:r>
      <w:r w:rsidRPr="00CE2D26">
        <w:rPr>
          <w:rFonts w:ascii="Arial" w:hAnsi="Arial" w:cs="Arial"/>
          <w:color w:val="000000" w:themeColor="text1"/>
        </w:rPr>
        <w:t>. Abbotsford, Australia: Good Shepherd Australia New Zealand and Wyndham Legal Service Inc.</w:t>
      </w:r>
    </w:p>
    <w:p w14:paraId="7FD1E3EE"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Coalition of Feminists for Social Change (COFEM). (2018). Backlash: What is it and how do we address it safely?, </w:t>
      </w:r>
      <w:r w:rsidRPr="00CE2D26">
        <w:rPr>
          <w:rFonts w:ascii="Arial" w:hAnsi="Arial" w:cs="Arial"/>
          <w:i/>
          <w:iCs/>
          <w:color w:val="000000" w:themeColor="text1"/>
        </w:rPr>
        <w:t>Feminist Pocketbook Tip Sheet 9.</w:t>
      </w:r>
      <w:r w:rsidRPr="00CE2D26">
        <w:rPr>
          <w:rFonts w:ascii="Arial" w:hAnsi="Arial" w:cs="Arial"/>
          <w:color w:val="000000" w:themeColor="text1"/>
        </w:rPr>
        <w:t xml:space="preserve"> Available at: </w:t>
      </w:r>
      <w:hyperlink r:id="rId48" w:history="1">
        <w:r w:rsidRPr="00CE2D26">
          <w:rPr>
            <w:rStyle w:val="Hyperlink"/>
            <w:rFonts w:ascii="Arial" w:hAnsi="Arial" w:cs="Arial"/>
            <w:color w:val="000000" w:themeColor="text1"/>
          </w:rPr>
          <w:t>https://cofemsocialchange.org/wp-content/uploads/2018/11/TS9-Backlash-What-is-it-and-how-do-we-address-it-safely.pdf</w:t>
        </w:r>
      </w:hyperlink>
      <w:r w:rsidRPr="00CE2D26">
        <w:rPr>
          <w:rFonts w:ascii="Arial" w:hAnsi="Arial" w:cs="Arial"/>
          <w:color w:val="000000" w:themeColor="text1"/>
        </w:rPr>
        <w:t xml:space="preserve">. </w:t>
      </w:r>
    </w:p>
    <w:p w14:paraId="32221766"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Colley, L., and C. White. 2018. “Neoliberal Feminism: The Neoliberal Rhetoric on Feminism by Australian Political Actors.” </w:t>
      </w:r>
      <w:r w:rsidRPr="00CE2D26">
        <w:rPr>
          <w:rFonts w:ascii="Arial" w:hAnsi="Arial" w:cs="Arial"/>
          <w:i/>
          <w:iCs/>
          <w:color w:val="000000" w:themeColor="text1"/>
        </w:rPr>
        <w:t>Gender, Work and Organization</w:t>
      </w:r>
      <w:r w:rsidRPr="00CE2D26">
        <w:rPr>
          <w:rFonts w:ascii="Arial" w:hAnsi="Arial" w:cs="Arial"/>
          <w:color w:val="000000" w:themeColor="text1"/>
        </w:rPr>
        <w:t>, no. June: 1–17. doi:10.1111/gwao.12303. </w:t>
      </w:r>
    </w:p>
    <w:p w14:paraId="60E87A4C"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Colley, L., Williamson, S., and Foley, M. (2020). Understanding, ownership, or resistance: Explaining persistent gender inequality in public services. </w:t>
      </w:r>
      <w:r w:rsidRPr="00CE2D26">
        <w:rPr>
          <w:rFonts w:ascii="Arial" w:hAnsi="Arial" w:cs="Arial"/>
          <w:i/>
          <w:iCs/>
          <w:color w:val="000000" w:themeColor="text1"/>
          <w:shd w:val="clear" w:color="auto" w:fill="FFFFFF"/>
        </w:rPr>
        <w:t>Gender, Work and Organization</w:t>
      </w:r>
      <w:r w:rsidRPr="00CE2D26">
        <w:rPr>
          <w:rFonts w:ascii="Arial" w:hAnsi="Arial" w:cs="Arial"/>
          <w:color w:val="000000" w:themeColor="text1"/>
          <w:shd w:val="clear" w:color="auto" w:fill="FFFFFF"/>
        </w:rPr>
        <w:t>.</w:t>
      </w:r>
    </w:p>
    <w:p w14:paraId="51A89212"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 xml:space="preserve">Connell, R. W. (2005). </w:t>
      </w:r>
      <w:r w:rsidRPr="00CE2D26">
        <w:rPr>
          <w:rFonts w:ascii="Arial" w:hAnsi="Arial" w:cs="Arial"/>
          <w:i/>
          <w:iCs/>
          <w:color w:val="000000" w:themeColor="text1"/>
          <w:shd w:val="clear" w:color="auto" w:fill="FFFFFF"/>
        </w:rPr>
        <w:t>Masculinities</w:t>
      </w:r>
      <w:r w:rsidRPr="00CE2D26">
        <w:rPr>
          <w:rFonts w:ascii="Arial" w:hAnsi="Arial" w:cs="Arial"/>
          <w:color w:val="000000" w:themeColor="text1"/>
          <w:shd w:val="clear" w:color="auto" w:fill="FFFFFF"/>
        </w:rPr>
        <w:t xml:space="preserve"> (2 end.) Cambridge: Polity.</w:t>
      </w:r>
    </w:p>
    <w:p w14:paraId="4AF89BEC"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lastRenderedPageBreak/>
        <w:t xml:space="preserve">Connell, R.W (1987) </w:t>
      </w:r>
      <w:r w:rsidRPr="00CE2D26">
        <w:rPr>
          <w:rFonts w:ascii="Arial" w:hAnsi="Arial" w:cs="Arial"/>
          <w:i/>
          <w:iCs/>
          <w:color w:val="000000" w:themeColor="text1"/>
        </w:rPr>
        <w:t>Gender and Power</w:t>
      </w:r>
      <w:r w:rsidRPr="00CE2D26">
        <w:rPr>
          <w:rFonts w:ascii="Arial" w:hAnsi="Arial" w:cs="Arial"/>
          <w:color w:val="000000" w:themeColor="text1"/>
        </w:rPr>
        <w:t xml:space="preserve">, Sydney: Allen and Unwin. </w:t>
      </w:r>
    </w:p>
    <w:p w14:paraId="3E828F57"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Corredor, E. S. (2019). Unpacking “Gender Ideology” and the Global Right’s Antigender Countermovement. </w:t>
      </w:r>
      <w:r w:rsidRPr="00CE2D26">
        <w:rPr>
          <w:rFonts w:ascii="Arial" w:hAnsi="Arial" w:cs="Arial"/>
          <w:i/>
          <w:iCs/>
          <w:color w:val="000000" w:themeColor="text1"/>
        </w:rPr>
        <w:t xml:space="preserve">Signs: Journal of Women in Culture and Society, </w:t>
      </w:r>
      <w:r w:rsidRPr="00CE2D26">
        <w:rPr>
          <w:rFonts w:ascii="Arial" w:hAnsi="Arial" w:cs="Arial"/>
          <w:color w:val="000000" w:themeColor="text1"/>
        </w:rPr>
        <w:t xml:space="preserve">44(3), 613-6338. </w:t>
      </w:r>
    </w:p>
    <w:p w14:paraId="31C1D7F2"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Crabb, A. (2019). Australians say ‘political correctness has gone too far’—but it’s complicated. </w:t>
      </w:r>
      <w:r w:rsidRPr="00CE2D26">
        <w:rPr>
          <w:rFonts w:ascii="Arial" w:hAnsi="Arial" w:cs="Arial"/>
          <w:i/>
          <w:iCs/>
          <w:color w:val="000000" w:themeColor="text1"/>
        </w:rPr>
        <w:t>The ABC</w:t>
      </w:r>
      <w:r w:rsidRPr="00CE2D26">
        <w:rPr>
          <w:rFonts w:ascii="Arial" w:hAnsi="Arial" w:cs="Arial"/>
          <w:color w:val="000000" w:themeColor="text1"/>
        </w:rPr>
        <w:t xml:space="preserve">, November 28. Available at: https://www.abc.net.au/news/2019-11-28/australia-talks-annabel-crabb-political-correctness-analysis/11742380. </w:t>
      </w:r>
    </w:p>
    <w:p w14:paraId="7486227F"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Crooks, C. V., Goodall, G. R., Hughes, R., Jaffe, P. G., and Baker, L. L. (2007). Engaging men and boys in preventing violence against women: Applying a cognitive–behavioral model. </w:t>
      </w:r>
      <w:r w:rsidRPr="00CE2D26">
        <w:rPr>
          <w:rFonts w:ascii="Arial" w:hAnsi="Arial" w:cs="Arial"/>
          <w:i/>
          <w:iCs/>
          <w:color w:val="000000" w:themeColor="text1"/>
          <w:shd w:val="clear" w:color="auto" w:fill="FFFFFF"/>
        </w:rPr>
        <w:t>Violence Against Women</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13</w:t>
      </w:r>
      <w:r w:rsidRPr="00CE2D26">
        <w:rPr>
          <w:rFonts w:ascii="Arial" w:hAnsi="Arial" w:cs="Arial"/>
          <w:color w:val="000000" w:themeColor="text1"/>
          <w:shd w:val="clear" w:color="auto" w:fill="FFFFFF"/>
        </w:rPr>
        <w:t>(3), 217-239.</w:t>
      </w:r>
    </w:p>
    <w:p w14:paraId="78AFF304"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Cupać, J., and Ebetürk, I. (2020). The personal is global political: The antifeminist backlash in the United Nations. </w:t>
      </w:r>
      <w:r w:rsidRPr="00C4511B">
        <w:rPr>
          <w:rFonts w:ascii="Arial" w:hAnsi="Arial" w:cs="Arial"/>
          <w:i/>
          <w:iCs/>
          <w:color w:val="000000" w:themeColor="text1"/>
        </w:rPr>
        <w:t>The British Journal of Politics and International Relations</w:t>
      </w:r>
      <w:r w:rsidRPr="00CE2D26">
        <w:rPr>
          <w:rFonts w:ascii="Arial" w:hAnsi="Arial" w:cs="Arial"/>
          <w:color w:val="000000" w:themeColor="text1"/>
        </w:rPr>
        <w:t>, 22(4), 702–714. https://doi.org/10.1177/1369148120948733</w:t>
      </w:r>
    </w:p>
    <w:p w14:paraId="110AD891" w14:textId="00D7F47F" w:rsidR="00CA7C75" w:rsidRPr="00CE2D26" w:rsidRDefault="00CA7C75" w:rsidP="00CA7C75">
      <w:pPr>
        <w:pStyle w:val="NoSpacing"/>
        <w:spacing w:afterLines="120" w:after="288"/>
        <w:rPr>
          <w:rFonts w:ascii="Arial" w:hAnsi="Arial" w:cs="Arial"/>
          <w:color w:val="000000" w:themeColor="text1"/>
        </w:rPr>
      </w:pPr>
      <w:r w:rsidRPr="00CE2D26">
        <w:rPr>
          <w:rFonts w:ascii="Arial" w:eastAsia="Calibri" w:hAnsi="Arial" w:cs="Arial"/>
          <w:color w:val="000000" w:themeColor="text1"/>
        </w:rPr>
        <w:t xml:space="preserve">Dahl, J., Vescio, T., and Weaver, K (2015) How threats to masculinity sequentially cause public discomfort, anger, and ideological dominance over women, </w:t>
      </w:r>
      <w:r w:rsidRPr="00CE2D26">
        <w:rPr>
          <w:rFonts w:ascii="Arial" w:eastAsia="Calibri" w:hAnsi="Arial" w:cs="Arial"/>
          <w:i/>
          <w:iCs/>
          <w:color w:val="000000" w:themeColor="text1"/>
        </w:rPr>
        <w:t>Social Psychology</w:t>
      </w:r>
      <w:r w:rsidRPr="00CE2D26">
        <w:rPr>
          <w:rFonts w:ascii="Arial" w:eastAsia="Calibri" w:hAnsi="Arial" w:cs="Arial"/>
          <w:color w:val="000000" w:themeColor="text1"/>
        </w:rPr>
        <w:t>, 46(4)</w:t>
      </w:r>
      <w:r w:rsidR="00441A5D">
        <w:rPr>
          <w:rFonts w:ascii="Arial" w:eastAsia="Calibri" w:hAnsi="Arial" w:cs="Arial"/>
          <w:color w:val="000000" w:themeColor="text1"/>
        </w:rPr>
        <w:t>.</w:t>
      </w:r>
      <w:r w:rsidRPr="00CE2D26">
        <w:rPr>
          <w:rFonts w:ascii="Arial" w:hAnsi="Arial" w:cs="Arial"/>
          <w:color w:val="000000" w:themeColor="text1"/>
        </w:rPr>
        <w:tab/>
      </w:r>
      <w:r w:rsidRPr="00CE2D26">
        <w:rPr>
          <w:rFonts w:ascii="Arial" w:hAnsi="Arial" w:cs="Arial"/>
          <w:color w:val="000000" w:themeColor="text1"/>
        </w:rPr>
        <w:tab/>
      </w:r>
    </w:p>
    <w:p w14:paraId="735711E3" w14:textId="03079790" w:rsidR="00441A5D" w:rsidRPr="00CE2D26" w:rsidRDefault="00441A5D" w:rsidP="00CA7C75">
      <w:pPr>
        <w:pStyle w:val="NoSpacing"/>
        <w:spacing w:afterLines="120" w:after="288"/>
        <w:rPr>
          <w:rFonts w:ascii="Arial" w:hAnsi="Arial" w:cs="Arial"/>
          <w:color w:val="000000" w:themeColor="text1"/>
        </w:rPr>
      </w:pPr>
      <w:r w:rsidRPr="00441A5D">
        <w:rPr>
          <w:rFonts w:ascii="Arial" w:hAnsi="Arial" w:cs="Arial"/>
          <w:color w:val="000000" w:themeColor="text1"/>
        </w:rPr>
        <w:t>Hansard, UK Parliament, Vol. 684, Thursday 19 November 2020. Availabl</w:t>
      </w:r>
      <w:r>
        <w:rPr>
          <w:rFonts w:ascii="Arial" w:hAnsi="Arial" w:cs="Arial"/>
          <w:color w:val="000000" w:themeColor="text1"/>
        </w:rPr>
        <w:t>e</w:t>
      </w:r>
      <w:r w:rsidRPr="00441A5D">
        <w:rPr>
          <w:rFonts w:ascii="Arial" w:hAnsi="Arial" w:cs="Arial"/>
          <w:color w:val="000000" w:themeColor="text1"/>
        </w:rPr>
        <w:t xml:space="preserve"> at https://hansard.parliament.uk/commons/2020-11-19/debates/FF3FD025-D6F1-4872-84A1-09FBFDA4E4A0/InternationalMen%E2%80%99SDay</w:t>
      </w:r>
    </w:p>
    <w:p w14:paraId="1EE12C76"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Deathe, L., and Rich, S. (2015). </w:t>
      </w:r>
      <w:r w:rsidRPr="00CE2D26">
        <w:rPr>
          <w:rFonts w:ascii="Arial" w:hAnsi="Arial" w:cs="Arial"/>
          <w:i/>
          <w:iCs/>
          <w:color w:val="000000" w:themeColor="text1"/>
        </w:rPr>
        <w:t>Speaking publicly about preventing men’s violence against women: curly questions and language considerations.</w:t>
      </w:r>
      <w:r w:rsidRPr="00CE2D26">
        <w:rPr>
          <w:rFonts w:ascii="Arial" w:hAnsi="Arial" w:cs="Arial"/>
          <w:color w:val="000000" w:themeColor="text1"/>
        </w:rPr>
        <w:t xml:space="preserve"> Footscray, Melbourne: Women’s Health West. </w:t>
      </w:r>
    </w:p>
    <w:p w14:paraId="3F7372E0"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 xml:space="preserve">Dennis, R. (2017). Money, Power, Freedom: Breakthrough 2016. Victorian Women’s Trust. Available at: https://www.vwt.org.au/richard-denniss-money-power-freedom/. </w:t>
      </w:r>
    </w:p>
    <w:p w14:paraId="7715EE02"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Dinner, D. (2016). The Divorce Bargain: The Fathers' Rights Movement and Family Inequalities. </w:t>
      </w:r>
      <w:r w:rsidRPr="00CE2D26">
        <w:rPr>
          <w:rFonts w:ascii="Arial" w:hAnsi="Arial" w:cs="Arial"/>
          <w:i/>
          <w:iCs/>
          <w:color w:val="000000" w:themeColor="text1"/>
          <w:shd w:val="clear" w:color="auto" w:fill="FFFFFF"/>
        </w:rPr>
        <w:t>Va. L. Rev.</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102</w:t>
      </w:r>
      <w:r w:rsidRPr="00CE2D26">
        <w:rPr>
          <w:rFonts w:ascii="Arial" w:hAnsi="Arial" w:cs="Arial"/>
          <w:color w:val="000000" w:themeColor="text1"/>
          <w:shd w:val="clear" w:color="auto" w:fill="FFFFFF"/>
        </w:rPr>
        <w:t>, 79.</w:t>
      </w:r>
    </w:p>
    <w:p w14:paraId="27A03FCC"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Domestic Violence Victoria (DV Vic). (2018</w:t>
      </w:r>
      <w:r w:rsidRPr="00CE2D26">
        <w:rPr>
          <w:rFonts w:ascii="Arial" w:hAnsi="Arial" w:cs="Arial"/>
          <w:i/>
          <w:iCs/>
          <w:color w:val="000000" w:themeColor="text1"/>
        </w:rPr>
        <w:t>). Submission on Early Release of Superannuation Consultation</w:t>
      </w:r>
      <w:r w:rsidRPr="00CE2D26">
        <w:rPr>
          <w:rFonts w:ascii="Arial" w:hAnsi="Arial" w:cs="Arial"/>
          <w:color w:val="000000" w:themeColor="text1"/>
        </w:rPr>
        <w:t xml:space="preserve">. Available at: http://dvvic.org.au/wp-content/uploads/2018/03/DV-Vic-Response-to-early-release-of-superannuation-benefits-discussion-paper-07.02.18.pdf. </w:t>
      </w:r>
    </w:p>
    <w:p w14:paraId="49BC4894"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Dragiewicz, M. (2011) Equality with a Vengeance: Men’s Rights Groups, Battered Women, and Antifeminist Backlash, Boston, MA, UPNE.</w:t>
      </w:r>
    </w:p>
    <w:p w14:paraId="57393CF1"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Dragiewicz, M. (2018) Antifeminism and backlash: a critical criminological imperative. In W. S. Dekeseredy and   M. Dragiewicz (eds) </w:t>
      </w:r>
      <w:r w:rsidRPr="00CE2D26">
        <w:rPr>
          <w:rFonts w:ascii="Arial" w:hAnsi="Arial" w:cs="Arial"/>
          <w:i/>
          <w:iCs/>
          <w:color w:val="000000" w:themeColor="text1"/>
        </w:rPr>
        <w:t>Routledge Handbook of critical Criminology</w:t>
      </w:r>
      <w:r w:rsidRPr="00CE2D26">
        <w:rPr>
          <w:rFonts w:ascii="Arial" w:hAnsi="Arial" w:cs="Arial"/>
          <w:color w:val="000000" w:themeColor="text1"/>
        </w:rPr>
        <w:t xml:space="preserve">, 2nd edn., London, Routledge. pp. 334–347. </w:t>
      </w:r>
    </w:p>
    <w:p w14:paraId="49E3C7F6"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Eaton, J. (2018). Stop asking me ‘what about men?. </w:t>
      </w:r>
      <w:r w:rsidRPr="00CE2D26">
        <w:rPr>
          <w:rFonts w:ascii="Arial" w:hAnsi="Arial" w:cs="Arial"/>
          <w:i/>
          <w:iCs/>
          <w:color w:val="000000" w:themeColor="text1"/>
          <w:shd w:val="clear" w:color="auto" w:fill="FFFFFF"/>
        </w:rPr>
        <w:t>Journal of gender-based violence</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2</w:t>
      </w:r>
      <w:r w:rsidRPr="00CE2D26">
        <w:rPr>
          <w:rFonts w:ascii="Arial" w:hAnsi="Arial" w:cs="Arial"/>
          <w:color w:val="000000" w:themeColor="text1"/>
          <w:shd w:val="clear" w:color="auto" w:fill="FFFFFF"/>
        </w:rPr>
        <w:t>(2), 391-395.</w:t>
      </w:r>
    </w:p>
    <w:p w14:paraId="034D05B9"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Elliott, K. (2019). Negotiations between progressive and ‘traditional’expressions of masculinity among young Australian men. </w:t>
      </w:r>
      <w:r w:rsidRPr="00CE2D26">
        <w:rPr>
          <w:rFonts w:ascii="Arial" w:hAnsi="Arial" w:cs="Arial"/>
          <w:i/>
          <w:iCs/>
          <w:color w:val="000000" w:themeColor="text1"/>
          <w:shd w:val="clear" w:color="auto" w:fill="FFFFFF"/>
        </w:rPr>
        <w:t>Journal of Sociology</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55</w:t>
      </w:r>
      <w:r w:rsidRPr="00CE2D26">
        <w:rPr>
          <w:rFonts w:ascii="Arial" w:hAnsi="Arial" w:cs="Arial"/>
          <w:color w:val="000000" w:themeColor="text1"/>
          <w:shd w:val="clear" w:color="auto" w:fill="FFFFFF"/>
        </w:rPr>
        <w:t>(1), 108-123.</w:t>
      </w:r>
    </w:p>
    <w:p w14:paraId="3CE148EC"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lang w:val="en-US"/>
        </w:rPr>
        <w:lastRenderedPageBreak/>
        <w:t xml:space="preserve">European Institute for Gender Equality (EIGE). (2016). </w:t>
      </w:r>
      <w:r w:rsidRPr="00CE2D26">
        <w:rPr>
          <w:rFonts w:ascii="Arial" w:hAnsi="Arial" w:cs="Arial"/>
          <w:i/>
          <w:iCs/>
          <w:color w:val="000000" w:themeColor="text1"/>
          <w:lang w:val="en-US"/>
        </w:rPr>
        <w:t>Institutional Transformation: Gender Mainstreaming Toolkit</w:t>
      </w:r>
      <w:r w:rsidRPr="00CE2D26">
        <w:rPr>
          <w:rFonts w:ascii="Arial" w:hAnsi="Arial" w:cs="Arial"/>
          <w:color w:val="000000" w:themeColor="text1"/>
          <w:lang w:val="en-US"/>
        </w:rPr>
        <w:t xml:space="preserve">. </w:t>
      </w:r>
      <w:r w:rsidRPr="00CE2D26">
        <w:rPr>
          <w:rFonts w:ascii="Arial" w:hAnsi="Arial" w:cs="Arial"/>
          <w:color w:val="000000" w:themeColor="text1"/>
        </w:rPr>
        <w:t xml:space="preserve">Luxembourg: Publications Office of the European Union. </w:t>
      </w:r>
    </w:p>
    <w:p w14:paraId="29B760DA"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Evans, M., V. Haussegger, M. Halupka, and P. Rowe. 2018. </w:t>
      </w:r>
      <w:r w:rsidRPr="00CE2D26">
        <w:rPr>
          <w:rFonts w:ascii="Arial" w:hAnsi="Arial" w:cs="Arial"/>
          <w:i/>
          <w:iCs/>
          <w:color w:val="000000" w:themeColor="text1"/>
        </w:rPr>
        <w:t>From Girls to Men: Social Attitudes to Gender Equality in Australia, Part 1: Quantitative Findings</w:t>
      </w:r>
      <w:r w:rsidRPr="00CE2D26">
        <w:rPr>
          <w:rFonts w:ascii="Arial" w:hAnsi="Arial" w:cs="Arial"/>
          <w:color w:val="000000" w:themeColor="text1"/>
        </w:rPr>
        <w:t>. Canberra: University of Canberra, 50 × 50 by 2030 Foundation.</w:t>
      </w:r>
    </w:p>
    <w:p w14:paraId="7B0B50E0"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Faludi, S. (1991) </w:t>
      </w:r>
      <w:r w:rsidRPr="00CE2D26">
        <w:rPr>
          <w:rFonts w:ascii="Arial" w:hAnsi="Arial" w:cs="Arial"/>
          <w:i/>
          <w:iCs/>
          <w:color w:val="000000" w:themeColor="text1"/>
        </w:rPr>
        <w:t>Backlash: the undeclared war against American women</w:t>
      </w:r>
      <w:r w:rsidRPr="00CE2D26">
        <w:rPr>
          <w:rFonts w:ascii="Arial" w:hAnsi="Arial" w:cs="Arial"/>
          <w:color w:val="000000" w:themeColor="text1"/>
        </w:rPr>
        <w:t>. New York, Crown.</w:t>
      </w:r>
    </w:p>
    <w:p w14:paraId="7C2A9EBA"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Female Empowerment in Science and Technology Academia (FESTA). (2016). </w:t>
      </w:r>
      <w:r w:rsidRPr="00CE2D26">
        <w:rPr>
          <w:rFonts w:ascii="Arial" w:hAnsi="Arial" w:cs="Arial"/>
          <w:i/>
          <w:iCs/>
          <w:color w:val="000000" w:themeColor="text1"/>
        </w:rPr>
        <w:t xml:space="preserve">Handbook on resistance to gender equality in academia. </w:t>
      </w:r>
      <w:r w:rsidRPr="00CE2D26">
        <w:rPr>
          <w:rFonts w:ascii="Arial" w:hAnsi="Arial" w:cs="Arial"/>
          <w:color w:val="000000" w:themeColor="text1"/>
        </w:rPr>
        <w:t xml:space="preserve">Available at:  </w:t>
      </w:r>
      <w:hyperlink r:id="rId49" w:history="1">
        <w:r w:rsidRPr="00CE2D26">
          <w:rPr>
            <w:rStyle w:val="Hyperlink"/>
            <w:rFonts w:ascii="Arial" w:hAnsi="Arial" w:cs="Arial"/>
            <w:color w:val="000000" w:themeColor="text1"/>
          </w:rPr>
          <w:t>https://www.festa-europa.eu/sites/festa-europa.eu/files/FESTA%20D7.1%20Handbook%20on%20Resistance%20to%20Gender%20Equality%20in%20Academia.pdf</w:t>
        </w:r>
      </w:hyperlink>
      <w:r w:rsidRPr="00CE2D26">
        <w:rPr>
          <w:rFonts w:ascii="Arial" w:hAnsi="Arial" w:cs="Arial"/>
          <w:color w:val="000000" w:themeColor="text1"/>
        </w:rPr>
        <w:t xml:space="preserve">. </w:t>
      </w:r>
    </w:p>
    <w:p w14:paraId="0A18416E"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Flood, M. (2004). ‘Backlash: Angry men’s movements’. In Rossi, S. E. (Ed.). </w:t>
      </w:r>
      <w:r w:rsidRPr="00CE2D26">
        <w:rPr>
          <w:rFonts w:ascii="Arial" w:hAnsi="Arial" w:cs="Arial"/>
          <w:i/>
          <w:iCs/>
          <w:color w:val="000000" w:themeColor="text1"/>
        </w:rPr>
        <w:t>The battle and backlash rage on: Why feminism cannot be obsolete</w:t>
      </w:r>
      <w:r w:rsidRPr="00CE2D26">
        <w:rPr>
          <w:rFonts w:ascii="Arial" w:hAnsi="Arial" w:cs="Arial"/>
          <w:color w:val="000000" w:themeColor="text1"/>
        </w:rPr>
        <w:t xml:space="preserve">. Philadelphia, USA: Xlibris Press. </w:t>
      </w:r>
    </w:p>
    <w:p w14:paraId="5F92D62D"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Flood, M. (2010). “Fathers’ rights” and the defense of paternal authority in Australia. </w:t>
      </w:r>
      <w:r w:rsidRPr="00CE2D26">
        <w:rPr>
          <w:rFonts w:ascii="Arial" w:hAnsi="Arial" w:cs="Arial"/>
          <w:i/>
          <w:iCs/>
          <w:color w:val="000000" w:themeColor="text1"/>
          <w:shd w:val="clear" w:color="auto" w:fill="FFFFFF"/>
        </w:rPr>
        <w:t>Violence against women</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16</w:t>
      </w:r>
      <w:r w:rsidRPr="00CE2D26">
        <w:rPr>
          <w:rFonts w:ascii="Arial" w:hAnsi="Arial" w:cs="Arial"/>
          <w:color w:val="000000" w:themeColor="text1"/>
          <w:shd w:val="clear" w:color="auto" w:fill="FFFFFF"/>
        </w:rPr>
        <w:t>(3), 328-347.</w:t>
      </w:r>
    </w:p>
    <w:p w14:paraId="1F2F658D"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Flood, M. (2012). Separated fathers and the ‘fathers’ rights’ movement. </w:t>
      </w:r>
      <w:r w:rsidRPr="00CE2D26">
        <w:rPr>
          <w:rFonts w:ascii="Arial" w:hAnsi="Arial" w:cs="Arial"/>
          <w:i/>
          <w:iCs/>
          <w:color w:val="000000" w:themeColor="text1"/>
          <w:shd w:val="clear" w:color="auto" w:fill="FFFFFF"/>
        </w:rPr>
        <w:t>Journal of Family Studies</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18</w:t>
      </w:r>
      <w:r w:rsidRPr="00CE2D26">
        <w:rPr>
          <w:rFonts w:ascii="Arial" w:hAnsi="Arial" w:cs="Arial"/>
          <w:color w:val="000000" w:themeColor="text1"/>
          <w:shd w:val="clear" w:color="auto" w:fill="FFFFFF"/>
        </w:rPr>
        <w:t>(2-3), 235-345.</w:t>
      </w:r>
    </w:p>
    <w:p w14:paraId="78578698"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Flood, M. (2015) ‘Men and gender equality’. In M. Flood and R. Howson (eds) </w:t>
      </w:r>
      <w:r w:rsidRPr="00CE2D26">
        <w:rPr>
          <w:rFonts w:ascii="Arial" w:hAnsi="Arial" w:cs="Arial"/>
          <w:i/>
          <w:iCs/>
          <w:color w:val="000000" w:themeColor="text1"/>
        </w:rPr>
        <w:t>Engaging Men in Building Gender Equality</w:t>
      </w:r>
      <w:r w:rsidRPr="00CE2D26">
        <w:rPr>
          <w:rFonts w:ascii="Arial" w:hAnsi="Arial" w:cs="Arial"/>
          <w:color w:val="000000" w:themeColor="text1"/>
        </w:rPr>
        <w:t>, Newcastle upon Tyne, UK: Cambridge Scholars Press. pp. 1–31.</w:t>
      </w:r>
    </w:p>
    <w:p w14:paraId="50D37426"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 xml:space="preserve">Flood, M. (2019). </w:t>
      </w:r>
      <w:r w:rsidRPr="00CE2D26">
        <w:rPr>
          <w:rFonts w:ascii="Arial" w:hAnsi="Arial" w:cs="Arial"/>
          <w:i/>
          <w:iCs/>
          <w:color w:val="000000" w:themeColor="text1"/>
          <w:shd w:val="clear" w:color="auto" w:fill="FFFFFF"/>
        </w:rPr>
        <w:t>Engaging Men and Boys in Violence Prevention.</w:t>
      </w:r>
      <w:r w:rsidRPr="00CE2D26">
        <w:rPr>
          <w:rFonts w:ascii="Arial" w:hAnsi="Arial" w:cs="Arial"/>
          <w:color w:val="000000" w:themeColor="text1"/>
          <w:shd w:val="clear" w:color="auto" w:fill="FFFFFF"/>
        </w:rPr>
        <w:t xml:space="preserve"> New York: Palgrave Macmillan. </w:t>
      </w:r>
    </w:p>
    <w:p w14:paraId="5B1BA441"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Flood, M. and Pease, B. (2005) ‘Undoing men’s privilege and advancing gender equality in public sector institutions’, </w:t>
      </w:r>
      <w:r w:rsidRPr="00CE2D26">
        <w:rPr>
          <w:rFonts w:ascii="Arial" w:hAnsi="Arial" w:cs="Arial"/>
          <w:i/>
          <w:iCs/>
          <w:color w:val="000000" w:themeColor="text1"/>
        </w:rPr>
        <w:t>Policy and Society</w:t>
      </w:r>
      <w:r w:rsidRPr="00CE2D26">
        <w:rPr>
          <w:rFonts w:ascii="Arial" w:hAnsi="Arial" w:cs="Arial"/>
          <w:color w:val="000000" w:themeColor="text1"/>
        </w:rPr>
        <w:t>, 24, 119–138.</w:t>
      </w:r>
    </w:p>
    <w:p w14:paraId="4E793245"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Flood, M., Dragiewicz, M., and Pease, B. (2018). </w:t>
      </w:r>
      <w:r w:rsidRPr="00CE2D26">
        <w:rPr>
          <w:rFonts w:ascii="Arial" w:hAnsi="Arial" w:cs="Arial"/>
          <w:i/>
          <w:iCs/>
          <w:color w:val="000000" w:themeColor="text1"/>
        </w:rPr>
        <w:t>Resistance and backlash to gender equality: An evidence review</w:t>
      </w:r>
      <w:r w:rsidRPr="00CE2D26">
        <w:rPr>
          <w:rFonts w:ascii="Arial" w:hAnsi="Arial" w:cs="Arial"/>
          <w:color w:val="000000" w:themeColor="text1"/>
        </w:rPr>
        <w:t xml:space="preserve">. Brisbane, Australia: Crime and Justice Research Centre, Queensland University of Technology (QUT). </w:t>
      </w:r>
    </w:p>
    <w:p w14:paraId="1A8A670C"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Flood, M., Dragiewicz, M., and Pease, B. (2020). Resistance and backlash to gender equality. </w:t>
      </w:r>
      <w:r w:rsidRPr="00CE2D26">
        <w:rPr>
          <w:rFonts w:ascii="Arial" w:hAnsi="Arial" w:cs="Arial"/>
          <w:i/>
          <w:iCs/>
          <w:color w:val="000000" w:themeColor="text1"/>
          <w:shd w:val="clear" w:color="auto" w:fill="FFFFFF"/>
        </w:rPr>
        <w:t>Australian Journal of Social Issues</w:t>
      </w:r>
      <w:r w:rsidRPr="00CE2D26">
        <w:rPr>
          <w:rFonts w:ascii="Arial" w:hAnsi="Arial" w:cs="Arial"/>
          <w:color w:val="000000" w:themeColor="text1"/>
          <w:shd w:val="clear" w:color="auto" w:fill="FFFFFF"/>
        </w:rPr>
        <w:t>.</w:t>
      </w:r>
    </w:p>
    <w:p w14:paraId="4A9FF301"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Flood, M., O’Donnell, J., Brewin, B., and Myors, B. (2021). Engaging Men: Reducing Resistance and Building Support. Melbourne: Eastern Health, Eastern Domestic Violence Service (EDVOS), and Queensland University of Technology (QUT).</w:t>
      </w:r>
    </w:p>
    <w:p w14:paraId="753A3751"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Foley, M., Oxenbridge, S., Cooper, R., and Baird, M. (2020). ‘I’ll never be one of the boys’: Gender harassment of women working as pilots and automotive tradespeople. </w:t>
      </w:r>
      <w:r w:rsidRPr="00CE2D26">
        <w:rPr>
          <w:rFonts w:ascii="Arial" w:hAnsi="Arial" w:cs="Arial"/>
          <w:i/>
          <w:iCs/>
          <w:color w:val="000000" w:themeColor="text1"/>
          <w:shd w:val="clear" w:color="auto" w:fill="FFFFFF"/>
        </w:rPr>
        <w:t>Gender, Work and Organization</w:t>
      </w:r>
      <w:r w:rsidRPr="00CE2D26">
        <w:rPr>
          <w:rFonts w:ascii="Arial" w:hAnsi="Arial" w:cs="Arial"/>
          <w:color w:val="000000" w:themeColor="text1"/>
          <w:shd w:val="clear" w:color="auto" w:fill="FFFFFF"/>
        </w:rPr>
        <w:t>.</w:t>
      </w:r>
    </w:p>
    <w:p w14:paraId="38A42808"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 xml:space="preserve">Gallegos, P., Wasserman, I. C., and Ferdman, B., M. (2020). The Dance of Inclusion: New Ways of Moving With Resistance. In </w:t>
      </w:r>
      <w:r w:rsidRPr="00CE2D26">
        <w:rPr>
          <w:rFonts w:ascii="Arial" w:hAnsi="Arial" w:cs="Arial"/>
          <w:color w:val="000000" w:themeColor="text1"/>
        </w:rPr>
        <w:t xml:space="preserve">Thomas, K. M. (Ed.) </w:t>
      </w:r>
      <w:r w:rsidRPr="00CE2D26">
        <w:rPr>
          <w:rFonts w:ascii="Arial" w:hAnsi="Arial" w:cs="Arial"/>
          <w:i/>
          <w:iCs/>
          <w:color w:val="000000" w:themeColor="text1"/>
        </w:rPr>
        <w:t xml:space="preserve">Diversity Resistance in Organizations </w:t>
      </w:r>
      <w:r w:rsidRPr="00CE2D26">
        <w:rPr>
          <w:rFonts w:ascii="Arial" w:hAnsi="Arial" w:cs="Arial"/>
          <w:color w:val="000000" w:themeColor="text1"/>
        </w:rPr>
        <w:t>(2</w:t>
      </w:r>
      <w:r w:rsidRPr="00CE2D26">
        <w:rPr>
          <w:rFonts w:ascii="Arial" w:hAnsi="Arial" w:cs="Arial"/>
          <w:color w:val="000000" w:themeColor="text1"/>
          <w:vertAlign w:val="superscript"/>
        </w:rPr>
        <w:t>nd</w:t>
      </w:r>
      <w:r w:rsidRPr="00CE2D26">
        <w:rPr>
          <w:rFonts w:ascii="Arial" w:hAnsi="Arial" w:cs="Arial"/>
          <w:color w:val="000000" w:themeColor="text1"/>
        </w:rPr>
        <w:t xml:space="preserve"> edn. pp. 10165-177). New York: Routledge.</w:t>
      </w:r>
    </w:p>
    <w:p w14:paraId="0CA09460"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lastRenderedPageBreak/>
        <w:t>Gardiner, B. (2018). “It’sa terrible way to go to work:” what 70 million readers’ comments on the Guardian revealed about hostility to women and minorities online. </w:t>
      </w:r>
      <w:r w:rsidRPr="00CE2D26">
        <w:rPr>
          <w:rFonts w:ascii="Arial" w:hAnsi="Arial" w:cs="Arial"/>
          <w:i/>
          <w:iCs/>
          <w:color w:val="000000" w:themeColor="text1"/>
          <w:shd w:val="clear" w:color="auto" w:fill="FFFFFF"/>
        </w:rPr>
        <w:t>Feminist Media Studies</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18</w:t>
      </w:r>
      <w:r w:rsidRPr="00CE2D26">
        <w:rPr>
          <w:rFonts w:ascii="Arial" w:hAnsi="Arial" w:cs="Arial"/>
          <w:color w:val="000000" w:themeColor="text1"/>
          <w:shd w:val="clear" w:color="auto" w:fill="FFFFFF"/>
        </w:rPr>
        <w:t>(4), 592-608.</w:t>
      </w:r>
    </w:p>
    <w:p w14:paraId="0768D5B5"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Gill, R. and Scharff, C. (eds) (2013</w:t>
      </w:r>
      <w:r w:rsidRPr="00CE2D26">
        <w:rPr>
          <w:rFonts w:ascii="Arial" w:hAnsi="Arial" w:cs="Arial"/>
          <w:i/>
          <w:iCs/>
          <w:color w:val="000000" w:themeColor="text1"/>
        </w:rPr>
        <w:t>) New Femininities: Postfeminism, Neoliberalism and Subjectivity</w:t>
      </w:r>
      <w:r w:rsidRPr="00CE2D26">
        <w:rPr>
          <w:rFonts w:ascii="Arial" w:hAnsi="Arial" w:cs="Arial"/>
          <w:color w:val="000000" w:themeColor="text1"/>
        </w:rPr>
        <w:t>. Basingstoke, Palgrave Macmillan.</w:t>
      </w:r>
    </w:p>
    <w:p w14:paraId="5BDB4862"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Gill, R., K. Kelan, E., and M. Scharff, C. (2017). A postfeminist sensibility at work. </w:t>
      </w:r>
      <w:r w:rsidRPr="00CE2D26">
        <w:rPr>
          <w:rFonts w:ascii="Arial" w:hAnsi="Arial" w:cs="Arial"/>
          <w:i/>
          <w:iCs/>
          <w:color w:val="000000" w:themeColor="text1"/>
          <w:shd w:val="clear" w:color="auto" w:fill="FFFFFF"/>
        </w:rPr>
        <w:t>Gender, Work and Organization</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24</w:t>
      </w:r>
      <w:r w:rsidRPr="00CE2D26">
        <w:rPr>
          <w:rFonts w:ascii="Arial" w:hAnsi="Arial" w:cs="Arial"/>
          <w:color w:val="000000" w:themeColor="text1"/>
          <w:shd w:val="clear" w:color="auto" w:fill="FFFFFF"/>
        </w:rPr>
        <w:t>(3), 226-244.</w:t>
      </w:r>
    </w:p>
    <w:p w14:paraId="0674CA52"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Ging, D. (2019). Alphas, Betas, and Incels: Theorizing the Masculinities of the Manosphere. </w:t>
      </w:r>
      <w:r w:rsidRPr="00CE2D26">
        <w:rPr>
          <w:rFonts w:ascii="Arial" w:hAnsi="Arial" w:cs="Arial"/>
          <w:i/>
          <w:iCs/>
          <w:color w:val="000000" w:themeColor="text1"/>
        </w:rPr>
        <w:t>Men and Masculinities,</w:t>
      </w:r>
      <w:r w:rsidRPr="00CE2D26">
        <w:rPr>
          <w:rFonts w:ascii="Arial" w:hAnsi="Arial" w:cs="Arial"/>
          <w:color w:val="000000" w:themeColor="text1"/>
        </w:rPr>
        <w:t xml:space="preserve"> 22(4), 638–657. https://doi.org/10.1177/1097184X17706401</w:t>
      </w:r>
    </w:p>
    <w:p w14:paraId="498262C9"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Gotell, L., and Dutton, E. (2016). Sexual violence in the ‘manosphere’: Antifeminist men’s rights discourses on rape. </w:t>
      </w:r>
      <w:r w:rsidRPr="00CE2D26">
        <w:rPr>
          <w:rFonts w:ascii="Arial" w:hAnsi="Arial" w:cs="Arial"/>
          <w:i/>
          <w:iCs/>
          <w:color w:val="000000" w:themeColor="text1"/>
          <w:shd w:val="clear" w:color="auto" w:fill="FFFFFF"/>
        </w:rPr>
        <w:t>International Journal for Crime, Justice and Social Democracy</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5</w:t>
      </w:r>
      <w:r w:rsidRPr="00CE2D26">
        <w:rPr>
          <w:rFonts w:ascii="Arial" w:hAnsi="Arial" w:cs="Arial"/>
          <w:color w:val="000000" w:themeColor="text1"/>
          <w:shd w:val="clear" w:color="auto" w:fill="FFFFFF"/>
        </w:rPr>
        <w:t>(2), 65-80.</w:t>
      </w:r>
    </w:p>
    <w:p w14:paraId="3A1FFBA2"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Hill, J. (2019a). I believed the Australian family court system was biased against fathers – then I found the rot at the core of it. </w:t>
      </w:r>
      <w:r w:rsidRPr="00CE2D26">
        <w:rPr>
          <w:rFonts w:ascii="Arial" w:hAnsi="Arial" w:cs="Arial"/>
          <w:i/>
          <w:iCs/>
          <w:color w:val="000000" w:themeColor="text1"/>
        </w:rPr>
        <w:t>The Guardian.</w:t>
      </w:r>
      <w:r w:rsidRPr="00CE2D26">
        <w:rPr>
          <w:rFonts w:ascii="Arial" w:hAnsi="Arial" w:cs="Arial"/>
          <w:color w:val="000000" w:themeColor="text1"/>
        </w:rPr>
        <w:t xml:space="preserve"> Available at: </w:t>
      </w:r>
      <w:hyperlink r:id="rId50" w:history="1">
        <w:r w:rsidRPr="00CE2D26">
          <w:rPr>
            <w:rStyle w:val="Hyperlink"/>
            <w:rFonts w:ascii="Arial" w:hAnsi="Arial" w:cs="Arial"/>
            <w:color w:val="000000" w:themeColor="text1"/>
          </w:rPr>
          <w:t>https://www.theguardian.com/commentisfree/2019/sep/19/i-believed-the-family-court-system-was-bias-against-fathers-then-i-found-the-rot-at-the-core-of-it</w:t>
        </w:r>
      </w:hyperlink>
      <w:r w:rsidRPr="00CE2D26">
        <w:rPr>
          <w:rFonts w:ascii="Arial" w:hAnsi="Arial" w:cs="Arial"/>
          <w:color w:val="000000" w:themeColor="text1"/>
        </w:rPr>
        <w:t xml:space="preserve">. </w:t>
      </w:r>
    </w:p>
    <w:p w14:paraId="5C7B739D"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Jane, E. A. (2017). </w:t>
      </w:r>
      <w:r w:rsidRPr="00CE2D26">
        <w:rPr>
          <w:rFonts w:ascii="Arial" w:hAnsi="Arial" w:cs="Arial"/>
          <w:i/>
          <w:iCs/>
          <w:color w:val="000000" w:themeColor="text1"/>
        </w:rPr>
        <w:t>Misogyny Online: A Short (and British) History.</w:t>
      </w:r>
      <w:r w:rsidRPr="00CE2D26">
        <w:rPr>
          <w:rFonts w:ascii="Arial" w:hAnsi="Arial" w:cs="Arial"/>
          <w:color w:val="000000" w:themeColor="text1"/>
        </w:rPr>
        <w:t xml:space="preserve"> London: Sage. </w:t>
      </w:r>
    </w:p>
    <w:p w14:paraId="070F2614"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Jane, E. A. (2018). Gendered cyberhate as workplace harassment and economic vandalism, </w:t>
      </w:r>
      <w:r w:rsidRPr="00CE2D26">
        <w:rPr>
          <w:rFonts w:ascii="Arial" w:hAnsi="Arial" w:cs="Arial"/>
          <w:i/>
          <w:iCs/>
          <w:color w:val="000000" w:themeColor="text1"/>
        </w:rPr>
        <w:t>Feminist Media Studies</w:t>
      </w:r>
      <w:r w:rsidRPr="00CE2D26">
        <w:rPr>
          <w:rFonts w:ascii="Arial" w:hAnsi="Arial" w:cs="Arial"/>
          <w:color w:val="000000" w:themeColor="text1"/>
        </w:rPr>
        <w:t xml:space="preserve">, 18(4), 575-591, DOI: 10.1080/14680777.2018.1447344 </w:t>
      </w:r>
    </w:p>
    <w:p w14:paraId="6B349126"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Kanina, J., Kramer, M., and Senge, P. (2018). </w:t>
      </w:r>
      <w:r w:rsidRPr="00CE2D26">
        <w:rPr>
          <w:rFonts w:ascii="Arial" w:hAnsi="Arial" w:cs="Arial"/>
          <w:i/>
          <w:iCs/>
          <w:color w:val="000000" w:themeColor="text1"/>
        </w:rPr>
        <w:t xml:space="preserve">The water of systems change. </w:t>
      </w:r>
      <w:r w:rsidRPr="00CE2D26">
        <w:rPr>
          <w:rFonts w:ascii="Arial" w:hAnsi="Arial" w:cs="Arial"/>
          <w:color w:val="000000" w:themeColor="text1"/>
        </w:rPr>
        <w:t xml:space="preserve">FSG. </w:t>
      </w:r>
    </w:p>
    <w:p w14:paraId="5F187E2F"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Kelan, E. 2009. “Gender Fatigue: The Ideological Dilemma of Gender Neutrality and Discrimination in Organizations.” </w:t>
      </w:r>
      <w:r w:rsidRPr="00CE2D26">
        <w:rPr>
          <w:rFonts w:ascii="Arial" w:hAnsi="Arial" w:cs="Arial"/>
          <w:i/>
          <w:iCs/>
          <w:color w:val="000000" w:themeColor="text1"/>
        </w:rPr>
        <w:t>Canadian Journal of Administrative Sciences</w:t>
      </w:r>
      <w:r w:rsidRPr="00CE2D26">
        <w:rPr>
          <w:rFonts w:ascii="Arial" w:hAnsi="Arial" w:cs="Arial"/>
          <w:color w:val="000000" w:themeColor="text1"/>
        </w:rPr>
        <w:t> 26 (3): 197–210. doi:10.1002/cjas.106. </w:t>
      </w:r>
    </w:p>
    <w:p w14:paraId="49ADAB96"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Kimmel, M.S. (2013). </w:t>
      </w:r>
      <w:r w:rsidRPr="00CE2D26">
        <w:rPr>
          <w:rFonts w:ascii="Arial" w:hAnsi="Arial" w:cs="Arial"/>
          <w:i/>
          <w:iCs/>
          <w:color w:val="000000" w:themeColor="text1"/>
        </w:rPr>
        <w:t>Angry White Men: American Masculinity at the End of an Era</w:t>
      </w:r>
      <w:r w:rsidRPr="00CE2D26">
        <w:rPr>
          <w:rFonts w:ascii="Arial" w:hAnsi="Arial" w:cs="Arial"/>
          <w:color w:val="000000" w:themeColor="text1"/>
        </w:rPr>
        <w:t xml:space="preserve">. New York, Nation Books. </w:t>
      </w:r>
    </w:p>
    <w:p w14:paraId="269C8385"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Krook, L. M. (2020). </w:t>
      </w:r>
      <w:r w:rsidRPr="00CE2D26">
        <w:rPr>
          <w:rFonts w:ascii="Arial" w:hAnsi="Arial" w:cs="Arial"/>
          <w:i/>
          <w:iCs/>
          <w:color w:val="000000" w:themeColor="text1"/>
        </w:rPr>
        <w:t xml:space="preserve">Violence against women in politics. </w:t>
      </w:r>
      <w:r w:rsidRPr="00CE2D26">
        <w:rPr>
          <w:rFonts w:ascii="Arial" w:hAnsi="Arial" w:cs="Arial"/>
          <w:color w:val="000000" w:themeColor="text1"/>
        </w:rPr>
        <w:t>New York. Oxford University Press.</w:t>
      </w:r>
    </w:p>
    <w:p w14:paraId="5D6E399D"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Krook, M. L., and Mackay, F. (Eds.) (2011). Introduction: Gender, politics, and institutions. In </w:t>
      </w:r>
      <w:r w:rsidRPr="00CE2D26">
        <w:rPr>
          <w:rFonts w:ascii="Arial" w:hAnsi="Arial" w:cs="Arial"/>
          <w:i/>
          <w:iCs/>
          <w:color w:val="000000" w:themeColor="text1"/>
          <w:shd w:val="clear" w:color="auto" w:fill="FFFFFF"/>
        </w:rPr>
        <w:t>Gender, politics and institutions</w:t>
      </w:r>
      <w:r w:rsidRPr="00CE2D26">
        <w:rPr>
          <w:rFonts w:ascii="Arial" w:hAnsi="Arial" w:cs="Arial"/>
          <w:color w:val="000000" w:themeColor="text1"/>
          <w:shd w:val="clear" w:color="auto" w:fill="FFFFFF"/>
        </w:rPr>
        <w:t> (pp. 1-20). Palgrave Macmillan, London.</w:t>
      </w:r>
    </w:p>
    <w:p w14:paraId="24C8900F"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Law, B. (2017). Moral panic 101: Equality, acceptance and the safe schools scandal. </w:t>
      </w:r>
      <w:r w:rsidRPr="00CE2D26">
        <w:rPr>
          <w:rFonts w:ascii="Arial" w:hAnsi="Arial" w:cs="Arial"/>
          <w:i/>
          <w:iCs/>
          <w:color w:val="000000" w:themeColor="text1"/>
          <w:shd w:val="clear" w:color="auto" w:fill="FFFFFF"/>
        </w:rPr>
        <w:t>Quarterly Essay</w:t>
      </w:r>
      <w:r w:rsidRPr="00CE2D26">
        <w:rPr>
          <w:rFonts w:ascii="Arial" w:hAnsi="Arial" w:cs="Arial"/>
          <w:color w:val="000000" w:themeColor="text1"/>
          <w:shd w:val="clear" w:color="auto" w:fill="FFFFFF"/>
        </w:rPr>
        <w:t>, (67), 1.</w:t>
      </w:r>
    </w:p>
    <w:p w14:paraId="3D4B61CC"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Lee, B. (2021). Ill-informet consent. </w:t>
      </w:r>
      <w:r w:rsidRPr="00CE2D26">
        <w:rPr>
          <w:rFonts w:ascii="Arial" w:hAnsi="Arial" w:cs="Arial"/>
          <w:i/>
          <w:iCs/>
          <w:color w:val="000000" w:themeColor="text1"/>
        </w:rPr>
        <w:t xml:space="preserve">The Monthly, </w:t>
      </w:r>
      <w:r w:rsidRPr="00CE2D26">
        <w:rPr>
          <w:rFonts w:ascii="Arial" w:hAnsi="Arial" w:cs="Arial"/>
          <w:color w:val="000000" w:themeColor="text1"/>
        </w:rPr>
        <w:t xml:space="preserve">May. Available at: https://www.themonthly.com.au/issue/2021/may/1619791200/bri-lee/ill-informed-consent#mtr. </w:t>
      </w:r>
    </w:p>
    <w:p w14:paraId="0F7A7CEA"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Lombardo, E., and Mergaert, L. (2013). Gender mainstreaming and resistance to gender training: A framework for studying implementation. </w:t>
      </w:r>
      <w:r w:rsidRPr="00CE2D26">
        <w:rPr>
          <w:rFonts w:ascii="Arial" w:hAnsi="Arial" w:cs="Arial"/>
          <w:i/>
          <w:iCs/>
          <w:color w:val="000000" w:themeColor="text1"/>
          <w:shd w:val="clear" w:color="auto" w:fill="FFFFFF"/>
        </w:rPr>
        <w:t>NORA-Nordic Journal of Feminist and Gender Research</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21</w:t>
      </w:r>
      <w:r w:rsidRPr="00CE2D26">
        <w:rPr>
          <w:rFonts w:ascii="Arial" w:hAnsi="Arial" w:cs="Arial"/>
          <w:color w:val="000000" w:themeColor="text1"/>
          <w:shd w:val="clear" w:color="auto" w:fill="FFFFFF"/>
        </w:rPr>
        <w:t>(4), 296-311.</w:t>
      </w:r>
    </w:p>
    <w:p w14:paraId="6916C5C4"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lastRenderedPageBreak/>
        <w:t xml:space="preserve">Mackay, F. (2011). Conclusion: Towards a feminist institutionalism? In Krook, M. L. and Mackay, F. (Eds). </w:t>
      </w:r>
      <w:r w:rsidRPr="00CE2D26">
        <w:rPr>
          <w:rFonts w:ascii="Arial" w:hAnsi="Arial" w:cs="Arial"/>
          <w:i/>
          <w:iCs/>
          <w:color w:val="000000" w:themeColor="text1"/>
          <w:shd w:val="clear" w:color="auto" w:fill="FFFFFF"/>
        </w:rPr>
        <w:t>Gender, Politics and Institutions</w:t>
      </w:r>
      <w:r w:rsidRPr="00CE2D26">
        <w:rPr>
          <w:rFonts w:ascii="Arial" w:hAnsi="Arial" w:cs="Arial"/>
          <w:color w:val="000000" w:themeColor="text1"/>
          <w:shd w:val="clear" w:color="auto" w:fill="FFFFFF"/>
        </w:rPr>
        <w:t> (pp. 181-196). Palgrave Macmillan, London.</w:t>
      </w:r>
    </w:p>
    <w:p w14:paraId="29ADE937"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Maley, M. (2021). Why political staffers are vulnerable to sexual misconduct—and little is done to stop it. </w:t>
      </w:r>
      <w:r w:rsidRPr="00CE2D26">
        <w:rPr>
          <w:rFonts w:ascii="Arial" w:hAnsi="Arial" w:cs="Arial"/>
          <w:i/>
          <w:iCs/>
          <w:color w:val="000000" w:themeColor="text1"/>
        </w:rPr>
        <w:t>The Conversation,</w:t>
      </w:r>
      <w:r w:rsidRPr="00CE2D26">
        <w:rPr>
          <w:rFonts w:ascii="Arial" w:hAnsi="Arial" w:cs="Arial"/>
          <w:color w:val="000000" w:themeColor="text1"/>
        </w:rPr>
        <w:t xml:space="preserve"> Feburary 15. Available at: https://theconversation.com/why-political-staffers-are-vulnerable-to-sexual-misconduct-and-little-is-done-to-stop-it-155300. </w:t>
      </w:r>
    </w:p>
    <w:p w14:paraId="0FD8A3DF"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Mansbridge, J. and Shames, S.L. (2008) ‘Toward a theory of backlash: dynamic resistance and the central role of power’,</w:t>
      </w:r>
      <w:r w:rsidRPr="00CE2D26">
        <w:rPr>
          <w:rFonts w:ascii="Arial" w:hAnsi="Arial" w:cs="Arial"/>
          <w:i/>
          <w:iCs/>
          <w:color w:val="000000" w:themeColor="text1"/>
        </w:rPr>
        <w:t xml:space="preserve"> Politics and Gender, </w:t>
      </w:r>
      <w:r w:rsidRPr="00CE2D26">
        <w:rPr>
          <w:rFonts w:ascii="Arial" w:hAnsi="Arial" w:cs="Arial"/>
          <w:color w:val="000000" w:themeColor="text1"/>
        </w:rPr>
        <w:t>4, 623–634.</w:t>
      </w:r>
    </w:p>
    <w:p w14:paraId="05136108"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Marwick, A. E., and Caplan, R. (2018). Drinking male tears: Language, the manosphere, and networked harassment. </w:t>
      </w:r>
      <w:r w:rsidRPr="00CE2D26">
        <w:rPr>
          <w:rFonts w:ascii="Arial" w:hAnsi="Arial" w:cs="Arial"/>
          <w:i/>
          <w:iCs/>
          <w:color w:val="000000" w:themeColor="text1"/>
          <w:shd w:val="clear" w:color="auto" w:fill="FFFFFF"/>
        </w:rPr>
        <w:t>Feminist Media Studies</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18</w:t>
      </w:r>
      <w:r w:rsidRPr="00CE2D26">
        <w:rPr>
          <w:rFonts w:ascii="Arial" w:hAnsi="Arial" w:cs="Arial"/>
          <w:color w:val="000000" w:themeColor="text1"/>
          <w:shd w:val="clear" w:color="auto" w:fill="FFFFFF"/>
        </w:rPr>
        <w:t>(4), 543-559.</w:t>
      </w:r>
    </w:p>
    <w:p w14:paraId="537E1A2A"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McDonald, D. (2020). Please welcome Victoria’s first public sector gender equality commissioner. </w:t>
      </w:r>
      <w:r w:rsidRPr="00CE2D26">
        <w:rPr>
          <w:rFonts w:ascii="Arial" w:hAnsi="Arial" w:cs="Arial"/>
          <w:i/>
          <w:iCs/>
          <w:color w:val="000000" w:themeColor="text1"/>
        </w:rPr>
        <w:t>Institute of Public Affairs</w:t>
      </w:r>
      <w:r w:rsidRPr="00CE2D26">
        <w:rPr>
          <w:rFonts w:ascii="Arial" w:hAnsi="Arial" w:cs="Arial"/>
          <w:color w:val="000000" w:themeColor="text1"/>
        </w:rPr>
        <w:t xml:space="preserve">. Available at: </w:t>
      </w:r>
      <w:hyperlink r:id="rId51" w:history="1">
        <w:r w:rsidRPr="00CE2D26">
          <w:rPr>
            <w:rStyle w:val="Hyperlink"/>
            <w:rFonts w:ascii="Arial" w:hAnsi="Arial" w:cs="Arial"/>
            <w:color w:val="000000" w:themeColor="text1"/>
          </w:rPr>
          <w:t>https://ipa.org.au/publications-ipa/please-welcome-victorias-first-public-sector-gender-equality-commissioner</w:t>
        </w:r>
      </w:hyperlink>
      <w:r w:rsidRPr="00CE2D26">
        <w:rPr>
          <w:rFonts w:ascii="Arial" w:hAnsi="Arial" w:cs="Arial"/>
          <w:color w:val="000000" w:themeColor="text1"/>
        </w:rPr>
        <w:t xml:space="preserve">. </w:t>
      </w:r>
    </w:p>
    <w:p w14:paraId="27BEA82F"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McGrath, K.J., and P. Van Bergen (2017). ‘Are male teachers headed for extinction? The 50-year decline of male teachers in Australia’. </w:t>
      </w:r>
      <w:r w:rsidRPr="00C4511B">
        <w:rPr>
          <w:rFonts w:ascii="Arial" w:hAnsi="Arial" w:cs="Arial"/>
          <w:i/>
          <w:iCs/>
          <w:color w:val="000000" w:themeColor="text1"/>
        </w:rPr>
        <w:t>Economics of Education Review</w:t>
      </w:r>
      <w:r w:rsidRPr="00CE2D26">
        <w:rPr>
          <w:rFonts w:ascii="Arial" w:hAnsi="Arial" w:cs="Arial"/>
          <w:color w:val="000000" w:themeColor="text1"/>
        </w:rPr>
        <w:t>, 60: 159–67.</w:t>
      </w:r>
    </w:p>
    <w:p w14:paraId="5846CE44"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Menzie, L. (2020). Stacys, Beckys, and Chads: the construction of femininity and hegemonic masculinity within Incel rhetoric. </w:t>
      </w:r>
      <w:r w:rsidRPr="00CE2D26">
        <w:rPr>
          <w:rFonts w:ascii="Arial" w:hAnsi="Arial" w:cs="Arial"/>
          <w:i/>
          <w:iCs/>
          <w:color w:val="000000" w:themeColor="text1"/>
          <w:shd w:val="clear" w:color="auto" w:fill="FFFFFF"/>
        </w:rPr>
        <w:t>Psychology and Sexuality</w:t>
      </w:r>
      <w:r w:rsidRPr="00CE2D26">
        <w:rPr>
          <w:rFonts w:ascii="Arial" w:hAnsi="Arial" w:cs="Arial"/>
          <w:color w:val="000000" w:themeColor="text1"/>
          <w:shd w:val="clear" w:color="auto" w:fill="FFFFFF"/>
        </w:rPr>
        <w:t>, 1-17.</w:t>
      </w:r>
    </w:p>
    <w:p w14:paraId="2F63F393"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Mergaert, L. and Lombardo, E. (2014) ‘Resistance to implementing gender mainstreaming in EU research policy’, </w:t>
      </w:r>
      <w:r w:rsidRPr="00CE2D26">
        <w:rPr>
          <w:rFonts w:ascii="Arial" w:hAnsi="Arial" w:cs="Arial"/>
          <w:i/>
          <w:iCs/>
          <w:color w:val="000000" w:themeColor="text1"/>
        </w:rPr>
        <w:t>European Integration online Papers (EIoP),</w:t>
      </w:r>
      <w:r w:rsidRPr="00CE2D26">
        <w:rPr>
          <w:rFonts w:ascii="Arial" w:hAnsi="Arial" w:cs="Arial"/>
          <w:color w:val="000000" w:themeColor="text1"/>
        </w:rPr>
        <w:t xml:space="preserve"> 18, 1–21.</w:t>
      </w:r>
    </w:p>
    <w:p w14:paraId="7098893D"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Murray, R. (2015). Merit vs Equality? The argument that gender quotas violate meritocracy is based on fallacies. </w:t>
      </w:r>
      <w:r w:rsidRPr="00CE2D26">
        <w:rPr>
          <w:rFonts w:ascii="Arial" w:hAnsi="Arial" w:cs="Arial"/>
          <w:i/>
          <w:iCs/>
          <w:color w:val="000000" w:themeColor="text1"/>
        </w:rPr>
        <w:t>London School of Economics Blogs,</w:t>
      </w:r>
      <w:r w:rsidRPr="00CE2D26">
        <w:rPr>
          <w:rFonts w:ascii="Arial" w:hAnsi="Arial" w:cs="Arial"/>
          <w:color w:val="000000" w:themeColor="text1"/>
        </w:rPr>
        <w:t xml:space="preserve"> December 7. Available at: https://blogs.lse.ac.uk/politicsandpolicy/merit-vs-equality-argument/. </w:t>
      </w:r>
    </w:p>
    <w:p w14:paraId="54AF0BAA"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Our Watch, Australia’s National Research Organisation for Women’s Safety (ANROWS) and VicHealth. (2015). </w:t>
      </w:r>
      <w:r w:rsidRPr="00CE2D26">
        <w:rPr>
          <w:rFonts w:ascii="Arial" w:hAnsi="Arial" w:cs="Arial"/>
          <w:i/>
          <w:iCs/>
          <w:color w:val="000000" w:themeColor="text1"/>
        </w:rPr>
        <w:t xml:space="preserve">Change the story: A shared framework for the primary prevention of violence against women and their children in Australia. </w:t>
      </w:r>
      <w:r w:rsidRPr="00CE2D26">
        <w:rPr>
          <w:rFonts w:ascii="Arial" w:hAnsi="Arial" w:cs="Arial"/>
          <w:color w:val="000000" w:themeColor="text1"/>
        </w:rPr>
        <w:t xml:space="preserve">Melbourne, Australia: Our Watch. </w:t>
      </w:r>
    </w:p>
    <w:p w14:paraId="5A5F60FB"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Our Watch. (2017). </w:t>
      </w:r>
      <w:r w:rsidRPr="00CE2D26">
        <w:rPr>
          <w:rFonts w:ascii="Arial" w:hAnsi="Arial" w:cs="Arial"/>
          <w:i/>
          <w:iCs/>
          <w:color w:val="000000" w:themeColor="text1"/>
        </w:rPr>
        <w:t>Counting on change: A guide to prevention monitoring</w:t>
      </w:r>
      <w:r w:rsidRPr="00CE2D26">
        <w:rPr>
          <w:rFonts w:ascii="Arial" w:hAnsi="Arial" w:cs="Arial"/>
          <w:color w:val="000000" w:themeColor="text1"/>
        </w:rPr>
        <w:t xml:space="preserve">. Melbourne, Australia: Our Watch. </w:t>
      </w:r>
    </w:p>
    <w:p w14:paraId="1818706D"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Our Watch. (2017). </w:t>
      </w:r>
      <w:r w:rsidRPr="00CE2D26">
        <w:rPr>
          <w:rFonts w:ascii="Arial" w:hAnsi="Arial" w:cs="Arial"/>
          <w:i/>
          <w:iCs/>
          <w:color w:val="000000" w:themeColor="text1"/>
        </w:rPr>
        <w:t>Putting the prevention of violence against women into practice: How to Change the story</w:t>
      </w:r>
      <w:r w:rsidRPr="00CE2D26">
        <w:rPr>
          <w:rFonts w:ascii="Arial" w:hAnsi="Arial" w:cs="Arial"/>
          <w:color w:val="000000" w:themeColor="text1"/>
        </w:rPr>
        <w:t xml:space="preserve">. Melbourne, Australia: Our Watch. </w:t>
      </w:r>
    </w:p>
    <w:p w14:paraId="7C9DC702"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Our Watch. (2018). </w:t>
      </w:r>
      <w:r w:rsidRPr="00CE2D26">
        <w:rPr>
          <w:rFonts w:ascii="Arial" w:hAnsi="Arial" w:cs="Arial"/>
          <w:i/>
          <w:iCs/>
          <w:color w:val="000000" w:themeColor="text1"/>
        </w:rPr>
        <w:t>Changing the picture: A national resource to support the prevention of violence against Aboriginal and Torres Strait Islander women and their children</w:t>
      </w:r>
      <w:r w:rsidRPr="00CE2D26">
        <w:rPr>
          <w:rFonts w:ascii="Arial" w:hAnsi="Arial" w:cs="Arial"/>
          <w:color w:val="000000" w:themeColor="text1"/>
        </w:rPr>
        <w:t xml:space="preserve">. Melbourne, Australia: Our Watch. </w:t>
      </w:r>
    </w:p>
    <w:p w14:paraId="4BE88785"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Our Watch. (2019). </w:t>
      </w:r>
      <w:r w:rsidRPr="00CE2D26">
        <w:rPr>
          <w:rFonts w:ascii="Arial" w:hAnsi="Arial" w:cs="Arial"/>
          <w:i/>
          <w:iCs/>
          <w:color w:val="000000" w:themeColor="text1"/>
        </w:rPr>
        <w:t>Men in focus: Unpacking masculinities and engaging men in the prevention of violence against women</w:t>
      </w:r>
      <w:r w:rsidRPr="00CE2D26">
        <w:rPr>
          <w:rFonts w:ascii="Arial" w:hAnsi="Arial" w:cs="Arial"/>
          <w:color w:val="000000" w:themeColor="text1"/>
        </w:rPr>
        <w:t xml:space="preserve">. Melbourne, Australia: Our Watch. </w:t>
      </w:r>
    </w:p>
    <w:p w14:paraId="32A3D375"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Our Watch. (2019). </w:t>
      </w:r>
      <w:r w:rsidRPr="00CE2D26">
        <w:rPr>
          <w:rFonts w:ascii="Arial" w:hAnsi="Arial" w:cs="Arial"/>
          <w:i/>
          <w:iCs/>
          <w:color w:val="000000" w:themeColor="text1"/>
        </w:rPr>
        <w:t>Practice guidance: Dealing with backlash</w:t>
      </w:r>
      <w:r w:rsidRPr="00CE2D26">
        <w:rPr>
          <w:rFonts w:ascii="Arial" w:hAnsi="Arial" w:cs="Arial"/>
          <w:color w:val="000000" w:themeColor="text1"/>
        </w:rPr>
        <w:t xml:space="preserve">. Melbourne, Australia: Our Watch. </w:t>
      </w:r>
    </w:p>
    <w:p w14:paraId="51F3F6AF" w14:textId="4C06C27A" w:rsidR="00CA7C75"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lastRenderedPageBreak/>
        <w:t>Our Watch. (2020</w:t>
      </w:r>
      <w:r w:rsidR="002303F0">
        <w:rPr>
          <w:rFonts w:ascii="Arial" w:hAnsi="Arial" w:cs="Arial"/>
          <w:color w:val="000000" w:themeColor="text1"/>
        </w:rPr>
        <w:t>a</w:t>
      </w:r>
      <w:r w:rsidRPr="00CE2D26">
        <w:rPr>
          <w:rFonts w:ascii="Arial" w:hAnsi="Arial" w:cs="Arial"/>
          <w:color w:val="000000" w:themeColor="text1"/>
        </w:rPr>
        <w:t xml:space="preserve">). </w:t>
      </w:r>
      <w:r w:rsidRPr="00CE2D26">
        <w:rPr>
          <w:rFonts w:ascii="Arial" w:hAnsi="Arial" w:cs="Arial"/>
          <w:i/>
          <w:iCs/>
          <w:color w:val="000000" w:themeColor="text1"/>
        </w:rPr>
        <w:t>Tracking progress in prevention: A national monitoring report on progress towards the primary prevention of violence against women and their children in Australia</w:t>
      </w:r>
      <w:r w:rsidRPr="00CE2D26">
        <w:rPr>
          <w:rFonts w:ascii="Arial" w:hAnsi="Arial" w:cs="Arial"/>
          <w:color w:val="000000" w:themeColor="text1"/>
        </w:rPr>
        <w:t xml:space="preserve">, Our Watch, Melbourne, Australia. </w:t>
      </w:r>
    </w:p>
    <w:p w14:paraId="3A5FA97F" w14:textId="4FA3CD74" w:rsidR="002303F0" w:rsidRPr="00CE2D26" w:rsidRDefault="002303F0" w:rsidP="00CA7C75">
      <w:pPr>
        <w:pStyle w:val="NoSpacing"/>
        <w:spacing w:afterLines="120" w:after="288"/>
        <w:rPr>
          <w:rFonts w:ascii="Arial" w:hAnsi="Arial" w:cs="Arial"/>
          <w:color w:val="000000" w:themeColor="text1"/>
        </w:rPr>
      </w:pPr>
      <w:r w:rsidRPr="002303F0">
        <w:rPr>
          <w:rFonts w:ascii="Arial" w:hAnsi="Arial" w:cs="Arial"/>
          <w:color w:val="000000" w:themeColor="text1"/>
        </w:rPr>
        <w:t>Our Watch. (2020b). National primary prevention report 1. Available: https://www.ourwatch.org.au/report/national-primary-prevention-report/</w:t>
      </w:r>
    </w:p>
    <w:p w14:paraId="294A1955" w14:textId="19606D3A" w:rsidR="00401F55" w:rsidRPr="00401F55" w:rsidRDefault="00401F55" w:rsidP="00401F55">
      <w:pPr>
        <w:pStyle w:val="NoSpacing"/>
        <w:spacing w:afterLines="120" w:after="288"/>
        <w:rPr>
          <w:rFonts w:ascii="Arial" w:hAnsi="Arial" w:cs="Arial"/>
          <w:color w:val="000000" w:themeColor="text1"/>
        </w:rPr>
      </w:pPr>
      <w:r w:rsidRPr="00401F55">
        <w:rPr>
          <w:rFonts w:ascii="Arial" w:hAnsi="Arial" w:cs="Arial"/>
          <w:color w:val="000000" w:themeColor="text1"/>
        </w:rPr>
        <w:t>Our</w:t>
      </w:r>
      <w:r>
        <w:rPr>
          <w:rFonts w:ascii="Arial" w:hAnsi="Arial" w:cs="Arial"/>
          <w:color w:val="000000" w:themeColor="text1"/>
        </w:rPr>
        <w:t xml:space="preserve"> </w:t>
      </w:r>
      <w:r w:rsidRPr="00401F55">
        <w:rPr>
          <w:rFonts w:ascii="Arial" w:hAnsi="Arial" w:cs="Arial"/>
          <w:color w:val="000000" w:themeColor="text1"/>
        </w:rPr>
        <w:t xml:space="preserve">Watch. (2021). </w:t>
      </w:r>
      <w:r w:rsidRPr="00401F55">
        <w:rPr>
          <w:rFonts w:ascii="Arial" w:hAnsi="Arial" w:cs="Arial"/>
          <w:i/>
          <w:iCs/>
          <w:color w:val="000000" w:themeColor="text1"/>
        </w:rPr>
        <w:t>Change the story: A shared framework for the primary prevention of violence against women in Australia</w:t>
      </w:r>
      <w:r w:rsidRPr="00401F55">
        <w:rPr>
          <w:rFonts w:ascii="Arial" w:hAnsi="Arial" w:cs="Arial"/>
          <w:color w:val="000000" w:themeColor="text1"/>
        </w:rPr>
        <w:t xml:space="preserve"> (2nd ed.).</w:t>
      </w:r>
      <w:r>
        <w:rPr>
          <w:rFonts w:ascii="Arial" w:hAnsi="Arial" w:cs="Arial"/>
          <w:color w:val="000000" w:themeColor="text1"/>
        </w:rPr>
        <w:t xml:space="preserve"> </w:t>
      </w:r>
      <w:r w:rsidRPr="00401F55">
        <w:rPr>
          <w:rFonts w:ascii="Arial" w:hAnsi="Arial" w:cs="Arial"/>
          <w:color w:val="000000" w:themeColor="text1"/>
        </w:rPr>
        <w:t>Melbourne, Australia:</w:t>
      </w:r>
    </w:p>
    <w:p w14:paraId="174B86D8" w14:textId="234AF76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Our Watch. (2021</w:t>
      </w:r>
      <w:r w:rsidR="00401F55">
        <w:rPr>
          <w:rFonts w:ascii="Arial" w:hAnsi="Arial" w:cs="Arial"/>
          <w:color w:val="000000" w:themeColor="text1"/>
        </w:rPr>
        <w:t>a</w:t>
      </w:r>
      <w:r w:rsidRPr="00CE2D26">
        <w:rPr>
          <w:rFonts w:ascii="Arial" w:hAnsi="Arial" w:cs="Arial"/>
          <w:color w:val="000000" w:themeColor="text1"/>
        </w:rPr>
        <w:t xml:space="preserve">). </w:t>
      </w:r>
      <w:r w:rsidRPr="00CE2D26">
        <w:rPr>
          <w:rFonts w:ascii="Arial" w:hAnsi="Arial" w:cs="Arial"/>
          <w:i/>
          <w:iCs/>
          <w:color w:val="000000" w:themeColor="text1"/>
        </w:rPr>
        <w:t>Respectful relationships education in schools: Evidence paper</w:t>
      </w:r>
      <w:r w:rsidRPr="00CE2D26">
        <w:rPr>
          <w:rFonts w:ascii="Arial" w:hAnsi="Arial" w:cs="Arial"/>
          <w:color w:val="000000" w:themeColor="text1"/>
        </w:rPr>
        <w:t xml:space="preserve">. Available at: https://education.ourwatch.org.au/resource/evidence-paper-respectful-relationships-education-in-schools. </w:t>
      </w:r>
    </w:p>
    <w:p w14:paraId="4780DC31"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Partners in Prevention. (2021). Responding to resistance. Domestic Violence Resource Centre, Available at: </w:t>
      </w:r>
      <w:hyperlink r:id="rId52" w:history="1">
        <w:r w:rsidRPr="00CE2D26">
          <w:rPr>
            <w:rStyle w:val="Hyperlink"/>
            <w:rFonts w:ascii="Arial" w:hAnsi="Arial" w:cs="Arial"/>
            <w:color w:val="000000" w:themeColor="text1"/>
          </w:rPr>
          <w:t>https://www.partnersinprevention.org.au/resources/responding-to-resistance/</w:t>
        </w:r>
      </w:hyperlink>
      <w:r w:rsidRPr="00CE2D26">
        <w:rPr>
          <w:rFonts w:ascii="Arial" w:hAnsi="Arial" w:cs="Arial"/>
          <w:color w:val="000000" w:themeColor="text1"/>
        </w:rPr>
        <w:t xml:space="preserve">.   </w:t>
      </w:r>
    </w:p>
    <w:p w14:paraId="358C27D5"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Pease, B. (2008). Engaging men in men’s violence prevention: Exploring the tensions, dilemmas and possibilities. </w:t>
      </w:r>
      <w:r w:rsidRPr="00CE2D26">
        <w:rPr>
          <w:rFonts w:ascii="Arial" w:hAnsi="Arial" w:cs="Arial"/>
          <w:i/>
          <w:iCs/>
          <w:color w:val="000000" w:themeColor="text1"/>
          <w:shd w:val="clear" w:color="auto" w:fill="FFFFFF"/>
        </w:rPr>
        <w:t>Australian Domestic and Family Violence Clearinghouse</w:t>
      </w:r>
      <w:r w:rsidRPr="00CE2D26">
        <w:rPr>
          <w:rFonts w:ascii="Arial" w:hAnsi="Arial" w:cs="Arial"/>
          <w:color w:val="000000" w:themeColor="text1"/>
          <w:shd w:val="clear" w:color="auto" w:fill="FFFFFF"/>
        </w:rPr>
        <w:t>, (17), 1-20.</w:t>
      </w:r>
    </w:p>
    <w:p w14:paraId="5CE0DCA9"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Pease, B. (2010). </w:t>
      </w:r>
      <w:r w:rsidRPr="00CE2D26">
        <w:rPr>
          <w:rFonts w:ascii="Arial" w:hAnsi="Arial" w:cs="Arial"/>
          <w:i/>
          <w:iCs/>
          <w:color w:val="000000" w:themeColor="text1"/>
        </w:rPr>
        <w:t>Undoing Privilege: Unearned Advantage in a Divided World</w:t>
      </w:r>
      <w:r w:rsidRPr="00CE2D26">
        <w:rPr>
          <w:rFonts w:ascii="Arial" w:hAnsi="Arial" w:cs="Arial"/>
          <w:color w:val="000000" w:themeColor="text1"/>
        </w:rPr>
        <w:t>. London, Zed Books.</w:t>
      </w:r>
    </w:p>
    <w:p w14:paraId="397E27C5"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Pederson, A., Greaves, L., and Poole, N. (2014). Gender-transformative health promotion for women: a framework for action. </w:t>
      </w:r>
      <w:r w:rsidRPr="00CE2D26">
        <w:rPr>
          <w:rFonts w:ascii="Arial" w:hAnsi="Arial" w:cs="Arial"/>
          <w:i/>
          <w:iCs/>
          <w:color w:val="000000" w:themeColor="text1"/>
          <w:shd w:val="clear" w:color="auto" w:fill="FFFFFF"/>
        </w:rPr>
        <w:t>Health Promotion International</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30</w:t>
      </w:r>
      <w:r w:rsidRPr="00CE2D26">
        <w:rPr>
          <w:rFonts w:ascii="Arial" w:hAnsi="Arial" w:cs="Arial"/>
          <w:color w:val="000000" w:themeColor="text1"/>
          <w:shd w:val="clear" w:color="auto" w:fill="FFFFFF"/>
        </w:rPr>
        <w:t>(1), 140-150.</w:t>
      </w:r>
    </w:p>
    <w:p w14:paraId="37C88B61"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Peretz, T. (2020). Seeing the invisible knapsack: Feminist men’s strategic responses to the continuation of male privilege in feminist spaces. </w:t>
      </w:r>
      <w:r w:rsidRPr="00CE2D26">
        <w:rPr>
          <w:rFonts w:ascii="Arial" w:hAnsi="Arial" w:cs="Arial"/>
          <w:i/>
          <w:iCs/>
          <w:color w:val="000000" w:themeColor="text1"/>
          <w:shd w:val="clear" w:color="auto" w:fill="FFFFFF"/>
        </w:rPr>
        <w:t>Men and Masculinities</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23</w:t>
      </w:r>
      <w:r w:rsidRPr="00CE2D26">
        <w:rPr>
          <w:rFonts w:ascii="Arial" w:hAnsi="Arial" w:cs="Arial"/>
          <w:color w:val="000000" w:themeColor="text1"/>
          <w:shd w:val="clear" w:color="auto" w:fill="FFFFFF"/>
        </w:rPr>
        <w:t>(3-4), 447-475.</w:t>
      </w:r>
    </w:p>
    <w:p w14:paraId="2397E7C6"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Petty John, M. E., Muzzey, F. K., Maas, M. K., and McCauley, H. L. (2019). # HowIWillChange: Engaging men and boys in the# MeToo movement. </w:t>
      </w:r>
      <w:r w:rsidRPr="00CE2D26">
        <w:rPr>
          <w:rFonts w:ascii="Arial" w:hAnsi="Arial" w:cs="Arial"/>
          <w:i/>
          <w:iCs/>
          <w:color w:val="000000" w:themeColor="text1"/>
          <w:shd w:val="clear" w:color="auto" w:fill="FFFFFF"/>
        </w:rPr>
        <w:t>Psychology of Men and Masculinities</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20</w:t>
      </w:r>
      <w:r w:rsidRPr="00CE2D26">
        <w:rPr>
          <w:rFonts w:ascii="Arial" w:hAnsi="Arial" w:cs="Arial"/>
          <w:color w:val="000000" w:themeColor="text1"/>
          <w:shd w:val="clear" w:color="auto" w:fill="FFFFFF"/>
        </w:rPr>
        <w:t>(4), 612-622.</w:t>
      </w:r>
    </w:p>
    <w:p w14:paraId="15A3611D"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Phelan, A., Johnston, M., and True, J. (2020). Growing Threats of Violent Extremism: The Urgency for a Gender-Based Response. </w:t>
      </w:r>
      <w:r w:rsidRPr="00CE2D26">
        <w:rPr>
          <w:rFonts w:ascii="Arial" w:hAnsi="Arial" w:cs="Arial"/>
          <w:i/>
          <w:iCs/>
          <w:color w:val="000000" w:themeColor="text1"/>
        </w:rPr>
        <w:t xml:space="preserve">Australian Outlook, </w:t>
      </w:r>
      <w:r w:rsidRPr="00CE2D26">
        <w:rPr>
          <w:rFonts w:ascii="Arial" w:hAnsi="Arial" w:cs="Arial"/>
          <w:color w:val="000000" w:themeColor="text1"/>
        </w:rPr>
        <w:t xml:space="preserve">March 8. Available at: https://www.internationalaffairs.org.au/australianoutlook/growing-threats-of-violent-extremism-the-urgency-for-a-gender-based-response/. </w:t>
      </w:r>
    </w:p>
    <w:p w14:paraId="37D14245"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Plaut, V., Romano, C. A., Hurd, K., and Goldstein, E. (2020). Diversity Resistance Redux: The Nature and Implictions of Dominant Group Threat for Diversity And Inclusion. In Thomas, K. M. (Ed.) </w:t>
      </w:r>
      <w:r w:rsidRPr="00CE2D26">
        <w:rPr>
          <w:rFonts w:ascii="Arial" w:hAnsi="Arial" w:cs="Arial"/>
          <w:i/>
          <w:iCs/>
          <w:color w:val="000000" w:themeColor="text1"/>
        </w:rPr>
        <w:t xml:space="preserve">Diversity Resistance in Organizations </w:t>
      </w:r>
      <w:r w:rsidRPr="00CE2D26">
        <w:rPr>
          <w:rFonts w:ascii="Arial" w:hAnsi="Arial" w:cs="Arial"/>
          <w:color w:val="000000" w:themeColor="text1"/>
        </w:rPr>
        <w:t>(2</w:t>
      </w:r>
      <w:r w:rsidRPr="00CE2D26">
        <w:rPr>
          <w:rFonts w:ascii="Arial" w:hAnsi="Arial" w:cs="Arial"/>
          <w:color w:val="000000" w:themeColor="text1"/>
          <w:vertAlign w:val="superscript"/>
        </w:rPr>
        <w:t>nd</w:t>
      </w:r>
      <w:r w:rsidRPr="00CE2D26">
        <w:rPr>
          <w:rFonts w:ascii="Arial" w:hAnsi="Arial" w:cs="Arial"/>
          <w:color w:val="000000" w:themeColor="text1"/>
        </w:rPr>
        <w:t xml:space="preserve"> edn. pp. 103-122). New York: Routledge. </w:t>
      </w:r>
    </w:p>
    <w:p w14:paraId="6F89DD11" w14:textId="77777777" w:rsidR="00CA7C75" w:rsidRPr="00CE2D26" w:rsidRDefault="00CA7C75" w:rsidP="00CA7C75">
      <w:pPr>
        <w:pStyle w:val="NoSpacing"/>
        <w:spacing w:afterLines="120" w:after="288"/>
        <w:rPr>
          <w:rFonts w:ascii="Arial" w:hAnsi="Arial" w:cs="Arial"/>
          <w:color w:val="000000" w:themeColor="text1"/>
          <w:lang w:val="en-US"/>
        </w:rPr>
      </w:pPr>
      <w:r w:rsidRPr="00CE2D26">
        <w:rPr>
          <w:rFonts w:ascii="Arial" w:hAnsi="Arial" w:cs="Arial"/>
          <w:color w:val="000000" w:themeColor="text1"/>
          <w:lang w:val="en-US"/>
        </w:rPr>
        <w:t xml:space="preserve">Rainbow Health Victoria. (2020). </w:t>
      </w:r>
      <w:r w:rsidRPr="00CE2D26">
        <w:rPr>
          <w:rFonts w:ascii="Arial" w:hAnsi="Arial" w:cs="Arial"/>
          <w:i/>
          <w:iCs/>
          <w:color w:val="000000" w:themeColor="text1"/>
          <w:lang w:val="en-US"/>
        </w:rPr>
        <w:t>Pride in Prevention Evidence Guide</w:t>
      </w:r>
      <w:r w:rsidRPr="00CE2D26">
        <w:rPr>
          <w:rFonts w:ascii="Arial" w:hAnsi="Arial" w:cs="Arial"/>
          <w:color w:val="000000" w:themeColor="text1"/>
          <w:lang w:val="en-US"/>
        </w:rPr>
        <w:t xml:space="preserve">, </w:t>
      </w:r>
    </w:p>
    <w:p w14:paraId="16F2CE7D"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Rao, A., and Kelleher, D. (2003). Institutions, organisations and gender equality in an era of globalisation. </w:t>
      </w:r>
      <w:r w:rsidRPr="00CE2D26">
        <w:rPr>
          <w:rFonts w:ascii="Arial" w:hAnsi="Arial" w:cs="Arial"/>
          <w:i/>
          <w:iCs/>
          <w:color w:val="000000" w:themeColor="text1"/>
          <w:shd w:val="clear" w:color="auto" w:fill="FFFFFF"/>
        </w:rPr>
        <w:t>Gender and Development</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11</w:t>
      </w:r>
      <w:r w:rsidRPr="00CE2D26">
        <w:rPr>
          <w:rFonts w:ascii="Arial" w:hAnsi="Arial" w:cs="Arial"/>
          <w:color w:val="000000" w:themeColor="text1"/>
          <w:shd w:val="clear" w:color="auto" w:fill="FFFFFF"/>
        </w:rPr>
        <w:t>(1), 142-149.</w:t>
      </w:r>
    </w:p>
    <w:p w14:paraId="7BE847E1"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Rentschler, C. (2015). # Safetytipsforladies: Feminist Twitter takedowns of victim blaming. </w:t>
      </w:r>
      <w:r w:rsidRPr="00CE2D26">
        <w:rPr>
          <w:rFonts w:ascii="Arial" w:hAnsi="Arial" w:cs="Arial"/>
          <w:i/>
          <w:iCs/>
          <w:color w:val="000000" w:themeColor="text1"/>
          <w:shd w:val="clear" w:color="auto" w:fill="FFFFFF"/>
        </w:rPr>
        <w:t>Feminist Media Studies</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15</w:t>
      </w:r>
      <w:r w:rsidRPr="00CE2D26">
        <w:rPr>
          <w:rFonts w:ascii="Arial" w:hAnsi="Arial" w:cs="Arial"/>
          <w:color w:val="000000" w:themeColor="text1"/>
          <w:shd w:val="clear" w:color="auto" w:fill="FFFFFF"/>
        </w:rPr>
        <w:t>(2), 353-356.</w:t>
      </w:r>
    </w:p>
    <w:p w14:paraId="191A84F7"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lastRenderedPageBreak/>
        <w:t>Respect Victoria, Australia’s National Research Organisation for Women’s Safety, the Victorian Health Promotion Foundation, Swinburne University of Technology, (2020) Re-shaping Attitudes: A toolkit for using the National Community Attitudes towards Violence against Women Survey (NCAS) in the primary prevention of violence against women, Respect Victoria, Melbourne, Australia.</w:t>
      </w:r>
    </w:p>
    <w:p w14:paraId="296BC5E2"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Salter, M. (2016) ‘Men’s rights or men’s needs?: anti-feminism in Australian men’s health promotion’, </w:t>
      </w:r>
      <w:r w:rsidRPr="00CE2D26">
        <w:rPr>
          <w:rFonts w:ascii="Arial" w:hAnsi="Arial" w:cs="Arial"/>
          <w:i/>
          <w:iCs/>
          <w:color w:val="000000" w:themeColor="text1"/>
        </w:rPr>
        <w:t>Canadian  Journal of Women and The Law</w:t>
      </w:r>
      <w:r w:rsidRPr="00CE2D26">
        <w:rPr>
          <w:rFonts w:ascii="Arial" w:hAnsi="Arial" w:cs="Arial"/>
          <w:color w:val="000000" w:themeColor="text1"/>
        </w:rPr>
        <w:t>, 28, 69–90.</w:t>
      </w:r>
    </w:p>
    <w:p w14:paraId="269333E3"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Salter, M. (2016a). ‘Real men don't hit women’: Constructing masculinity in the prevention of violence against women. </w:t>
      </w:r>
      <w:r w:rsidRPr="00CE2D26">
        <w:rPr>
          <w:rFonts w:ascii="Arial" w:hAnsi="Arial" w:cs="Arial"/>
          <w:i/>
          <w:iCs/>
          <w:color w:val="000000" w:themeColor="text1"/>
          <w:shd w:val="clear" w:color="auto" w:fill="FFFFFF"/>
        </w:rPr>
        <w:t>Australian and New Zealand Journal of Criminology</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49</w:t>
      </w:r>
      <w:r w:rsidRPr="00CE2D26">
        <w:rPr>
          <w:rFonts w:ascii="Arial" w:hAnsi="Arial" w:cs="Arial"/>
          <w:color w:val="000000" w:themeColor="text1"/>
          <w:shd w:val="clear" w:color="auto" w:fill="FFFFFF"/>
        </w:rPr>
        <w:t>(4), 463-479.</w:t>
      </w:r>
    </w:p>
    <w:p w14:paraId="783A5B8F"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Salter, M. (2016b). Men's Rights or Men's Needs? Anti-Feminism in Australian Men's Health Promotion. </w:t>
      </w:r>
      <w:r w:rsidRPr="00CE2D26">
        <w:rPr>
          <w:rFonts w:ascii="Arial" w:hAnsi="Arial" w:cs="Arial"/>
          <w:i/>
          <w:iCs/>
          <w:color w:val="000000" w:themeColor="text1"/>
          <w:shd w:val="clear" w:color="auto" w:fill="FFFFFF"/>
        </w:rPr>
        <w:t>Canadian Journal of Women and the Law</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28</w:t>
      </w:r>
      <w:r w:rsidRPr="00CE2D26">
        <w:rPr>
          <w:rFonts w:ascii="Arial" w:hAnsi="Arial" w:cs="Arial"/>
          <w:color w:val="000000" w:themeColor="text1"/>
          <w:shd w:val="clear" w:color="auto" w:fill="FFFFFF"/>
        </w:rPr>
        <w:t>(1), 69-90.</w:t>
      </w:r>
    </w:p>
    <w:p w14:paraId="71D783D1"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Schmitz, R. M., and Kazyak, E. (2016). Masculinities in cyberspace: An analysis of portrayals of manhood in men’s rights activist websites. </w:t>
      </w:r>
      <w:r w:rsidRPr="00CE2D26">
        <w:rPr>
          <w:rFonts w:ascii="Arial" w:hAnsi="Arial" w:cs="Arial"/>
          <w:i/>
          <w:iCs/>
          <w:color w:val="000000" w:themeColor="text1"/>
          <w:shd w:val="clear" w:color="auto" w:fill="FFFFFF"/>
        </w:rPr>
        <w:t>Social Sciences</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5</w:t>
      </w:r>
      <w:r w:rsidRPr="00CE2D26">
        <w:rPr>
          <w:rFonts w:ascii="Arial" w:hAnsi="Arial" w:cs="Arial"/>
          <w:color w:val="000000" w:themeColor="text1"/>
          <w:shd w:val="clear" w:color="auto" w:fill="FFFFFF"/>
        </w:rPr>
        <w:t>(2), 18.</w:t>
      </w:r>
    </w:p>
    <w:p w14:paraId="09D8E75B"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Shepp, V., O’Callaghan, E., Kirkner, A., Lorenz, K., and Ullman, S. (2020). Sexual assault survivors who exchange sex: identity, stigma, and informal responses from support providers. </w:t>
      </w:r>
      <w:r w:rsidRPr="00CE2D26">
        <w:rPr>
          <w:rFonts w:ascii="Arial" w:hAnsi="Arial" w:cs="Arial"/>
          <w:i/>
          <w:iCs/>
          <w:color w:val="000000" w:themeColor="text1"/>
          <w:shd w:val="clear" w:color="auto" w:fill="FFFFFF"/>
        </w:rPr>
        <w:t>Affilia</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35</w:t>
      </w:r>
      <w:r w:rsidRPr="00CE2D26">
        <w:rPr>
          <w:rFonts w:ascii="Arial" w:hAnsi="Arial" w:cs="Arial"/>
          <w:color w:val="000000" w:themeColor="text1"/>
          <w:shd w:val="clear" w:color="auto" w:fill="FFFFFF"/>
        </w:rPr>
        <w:t>(1), 105-128.</w:t>
      </w:r>
    </w:p>
    <w:p w14:paraId="166572E1" w14:textId="77777777" w:rsidR="00CA7C75" w:rsidRPr="00CE2D26" w:rsidRDefault="00CA7C75" w:rsidP="00CA7C75">
      <w:pPr>
        <w:pStyle w:val="NoSpacing"/>
        <w:spacing w:afterLines="120" w:after="288"/>
        <w:rPr>
          <w:rFonts w:ascii="Arial" w:hAnsi="Arial" w:cs="Arial"/>
          <w:i/>
          <w:iCs/>
          <w:color w:val="000000" w:themeColor="text1"/>
          <w:shd w:val="clear" w:color="auto" w:fill="FFFFFF"/>
        </w:rPr>
      </w:pPr>
      <w:r w:rsidRPr="00CE2D26">
        <w:rPr>
          <w:rFonts w:ascii="Arial" w:hAnsi="Arial" w:cs="Arial"/>
          <w:color w:val="000000" w:themeColor="text1"/>
          <w:shd w:val="clear" w:color="auto" w:fill="FFFFFF"/>
        </w:rPr>
        <w:t xml:space="preserve">Smith, L. (2013). Dehumanising sex workers: what’s ‘prostitute got to do with it? </w:t>
      </w:r>
      <w:r w:rsidRPr="00CE2D26">
        <w:rPr>
          <w:rFonts w:ascii="Arial" w:hAnsi="Arial" w:cs="Arial"/>
          <w:i/>
          <w:iCs/>
          <w:color w:val="000000" w:themeColor="text1"/>
          <w:shd w:val="clear" w:color="auto" w:fill="FFFFFF"/>
        </w:rPr>
        <w:t xml:space="preserve">The Conversation, </w:t>
      </w:r>
      <w:r w:rsidRPr="00CE2D26">
        <w:rPr>
          <w:rFonts w:ascii="Arial" w:hAnsi="Arial" w:cs="Arial"/>
          <w:color w:val="000000" w:themeColor="text1"/>
          <w:shd w:val="clear" w:color="auto" w:fill="FFFFFF"/>
        </w:rPr>
        <w:t>July 30. Available at: https://theconversation.com/dehumanising-sex-workers-whats-prostitute-got-to-do-with-it-16444.</w:t>
      </w:r>
      <w:r w:rsidRPr="00CE2D26">
        <w:rPr>
          <w:rFonts w:ascii="Arial" w:hAnsi="Arial" w:cs="Arial"/>
          <w:i/>
          <w:iCs/>
          <w:color w:val="000000" w:themeColor="text1"/>
          <w:shd w:val="clear" w:color="auto" w:fill="FFFFFF"/>
        </w:rPr>
        <w:t xml:space="preserve"> </w:t>
      </w:r>
    </w:p>
    <w:p w14:paraId="4CF4E65F"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Smolović Jones, O., Smolović Jones, S., Taylor, S., and Yarrow, E. (2020). ‘I Wanted More Women in, but...’: Oblique Resistance to Gender Equality Initiatives. </w:t>
      </w:r>
      <w:r w:rsidRPr="00CE2D26">
        <w:rPr>
          <w:rFonts w:ascii="Arial" w:hAnsi="Arial" w:cs="Arial"/>
          <w:i/>
          <w:iCs/>
          <w:color w:val="000000" w:themeColor="text1"/>
          <w:shd w:val="clear" w:color="auto" w:fill="FFFFFF"/>
        </w:rPr>
        <w:t>Work, Employment and Society</w:t>
      </w:r>
      <w:r w:rsidRPr="00CE2D26">
        <w:rPr>
          <w:rFonts w:ascii="Arial" w:hAnsi="Arial" w:cs="Arial"/>
          <w:color w:val="000000" w:themeColor="text1"/>
          <w:shd w:val="clear" w:color="auto" w:fill="FFFFFF"/>
        </w:rPr>
        <w:t>, 0950017020936871.</w:t>
      </w:r>
    </w:p>
    <w:p w14:paraId="6A36B309"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 xml:space="preserve">Stardust, Z. Z. (2017). The stigma of sex work comes with a high cost. </w:t>
      </w:r>
      <w:r w:rsidRPr="00CE2D26">
        <w:rPr>
          <w:rFonts w:ascii="Arial" w:hAnsi="Arial" w:cs="Arial"/>
          <w:i/>
          <w:iCs/>
          <w:color w:val="000000" w:themeColor="text1"/>
          <w:shd w:val="clear" w:color="auto" w:fill="FFFFFF"/>
        </w:rPr>
        <w:t>The Conversation,</w:t>
      </w:r>
      <w:r w:rsidRPr="00CE2D26">
        <w:rPr>
          <w:rFonts w:ascii="Arial" w:hAnsi="Arial" w:cs="Arial"/>
          <w:color w:val="000000" w:themeColor="text1"/>
          <w:shd w:val="clear" w:color="auto" w:fill="FFFFFF"/>
        </w:rPr>
        <w:t xml:space="preserve"> August 10. Available at: https://theconversation.com/the-stigma-of-sex-work-comes-with-a-high-cost-79657. </w:t>
      </w:r>
    </w:p>
    <w:p w14:paraId="4F7F4905"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Sutherland, G., McCormack, A., Pirkis, J., Vaughan, C., Dunne-Breen, M., Easteal, P., and Holland, K. (2016). Media representations of violence against women and their children: Final report (ANROWS Horizons, 03/2016). Sydney: ANROWS.</w:t>
      </w:r>
    </w:p>
    <w:p w14:paraId="61211C1B"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i/>
          <w:iCs/>
          <w:color w:val="000000" w:themeColor="text1"/>
        </w:rPr>
        <w:t xml:space="preserve">Teach us consent. </w:t>
      </w:r>
      <w:r w:rsidRPr="00CE2D26">
        <w:rPr>
          <w:rFonts w:ascii="Arial" w:hAnsi="Arial" w:cs="Arial"/>
          <w:color w:val="000000" w:themeColor="text1"/>
        </w:rPr>
        <w:t xml:space="preserve">(2021). About. Available at: </w:t>
      </w:r>
      <w:hyperlink r:id="rId53" w:history="1">
        <w:r w:rsidRPr="00CE2D26">
          <w:rPr>
            <w:rStyle w:val="Hyperlink"/>
            <w:rFonts w:ascii="Arial" w:hAnsi="Arial" w:cs="Arial"/>
            <w:color w:val="000000" w:themeColor="text1"/>
          </w:rPr>
          <w:t>https://www.teachusconsent.com/</w:t>
        </w:r>
      </w:hyperlink>
      <w:r w:rsidRPr="00CE2D26">
        <w:rPr>
          <w:rFonts w:ascii="Arial" w:hAnsi="Arial" w:cs="Arial"/>
          <w:color w:val="000000" w:themeColor="text1"/>
        </w:rPr>
        <w:t xml:space="preserve">. </w:t>
      </w:r>
    </w:p>
    <w:p w14:paraId="4E40291A"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The Men’s Project and Flood, M. (2018) </w:t>
      </w:r>
      <w:r w:rsidRPr="00CE2D26">
        <w:rPr>
          <w:rFonts w:ascii="Arial" w:hAnsi="Arial" w:cs="Arial"/>
          <w:i/>
          <w:iCs/>
          <w:color w:val="000000" w:themeColor="text1"/>
        </w:rPr>
        <w:t>The Man Box: A study on being a young man in Australia</w:t>
      </w:r>
      <w:r w:rsidRPr="00CE2D26">
        <w:rPr>
          <w:rFonts w:ascii="Arial" w:hAnsi="Arial" w:cs="Arial"/>
          <w:color w:val="000000" w:themeColor="text1"/>
        </w:rPr>
        <w:t xml:space="preserve">, Melbourne: Jesuit Social Services. </w:t>
      </w:r>
    </w:p>
    <w:p w14:paraId="0E759680"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 xml:space="preserve">Thomas, K. M., and Plaut, V. C. (2008). The many faces of diversity resistance in the workplace. In Thomas, K. M. </w:t>
      </w:r>
      <w:r w:rsidRPr="00CE2D26">
        <w:rPr>
          <w:rFonts w:ascii="Arial" w:hAnsi="Arial" w:cs="Arial"/>
          <w:i/>
          <w:iCs/>
          <w:color w:val="000000" w:themeColor="text1"/>
          <w:shd w:val="clear" w:color="auto" w:fill="FFFFFF"/>
        </w:rPr>
        <w:t>Diversity resistance in organizations</w:t>
      </w:r>
      <w:r w:rsidRPr="00CE2D26">
        <w:rPr>
          <w:rFonts w:ascii="Arial" w:hAnsi="Arial" w:cs="Arial"/>
          <w:color w:val="000000" w:themeColor="text1"/>
          <w:shd w:val="clear" w:color="auto" w:fill="FFFFFF"/>
        </w:rPr>
        <w:t>,(1</w:t>
      </w:r>
      <w:r w:rsidRPr="00CE2D26">
        <w:rPr>
          <w:rFonts w:ascii="Arial" w:hAnsi="Arial" w:cs="Arial"/>
          <w:color w:val="000000" w:themeColor="text1"/>
          <w:shd w:val="clear" w:color="auto" w:fill="FFFFFF"/>
          <w:vertAlign w:val="superscript"/>
        </w:rPr>
        <w:t>st</w:t>
      </w:r>
      <w:r w:rsidRPr="00CE2D26">
        <w:rPr>
          <w:rFonts w:ascii="Arial" w:hAnsi="Arial" w:cs="Arial"/>
          <w:color w:val="000000" w:themeColor="text1"/>
          <w:shd w:val="clear" w:color="auto" w:fill="FFFFFF"/>
        </w:rPr>
        <w:t xml:space="preserve"> Edn. pp.1-22), Routledge.</w:t>
      </w:r>
    </w:p>
    <w:p w14:paraId="501B6DFD"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True, J. (2012). </w:t>
      </w:r>
      <w:r w:rsidRPr="00CE2D26">
        <w:rPr>
          <w:rFonts w:ascii="Arial" w:hAnsi="Arial" w:cs="Arial"/>
          <w:i/>
          <w:iCs/>
          <w:color w:val="000000" w:themeColor="text1"/>
        </w:rPr>
        <w:t xml:space="preserve">The political economy of violence against women. </w:t>
      </w:r>
      <w:r w:rsidRPr="00CE2D26">
        <w:rPr>
          <w:rFonts w:ascii="Arial" w:hAnsi="Arial" w:cs="Arial"/>
          <w:color w:val="000000" w:themeColor="text1"/>
        </w:rPr>
        <w:t>New York, Oxford University Press.</w:t>
      </w:r>
    </w:p>
    <w:p w14:paraId="4757534F"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True, J., Chilmeran, Y., and Johnston, M. (2019). This is Not Us—and Yet it is Us: Why Gendered Analysis of Terrorism is Sorely Needed. </w:t>
      </w:r>
      <w:r w:rsidRPr="00CE2D26">
        <w:rPr>
          <w:rFonts w:ascii="Arial" w:hAnsi="Arial" w:cs="Arial"/>
          <w:i/>
          <w:iCs/>
          <w:color w:val="000000" w:themeColor="text1"/>
        </w:rPr>
        <w:t>PRIO Blogs,</w:t>
      </w:r>
      <w:r w:rsidRPr="00CE2D26">
        <w:rPr>
          <w:rFonts w:ascii="Arial" w:hAnsi="Arial" w:cs="Arial"/>
          <w:color w:val="000000" w:themeColor="text1"/>
        </w:rPr>
        <w:t xml:space="preserve"> March 21. Available at: </w:t>
      </w:r>
      <w:hyperlink r:id="rId54" w:history="1">
        <w:r w:rsidRPr="00CE2D26">
          <w:rPr>
            <w:rStyle w:val="Hyperlink"/>
            <w:rFonts w:ascii="Arial" w:hAnsi="Arial" w:cs="Arial"/>
            <w:color w:val="000000" w:themeColor="text1"/>
          </w:rPr>
          <w:t>https://blogs.prio.org/2019/03/this-is-not-us-and-yet-it-is-us-why-gendered-analysis-of-terrorism-is-sorely-needed/</w:t>
        </w:r>
      </w:hyperlink>
      <w:r w:rsidRPr="00CE2D26">
        <w:rPr>
          <w:rFonts w:ascii="Arial" w:hAnsi="Arial" w:cs="Arial"/>
          <w:color w:val="000000" w:themeColor="text1"/>
        </w:rPr>
        <w:t xml:space="preserve">. </w:t>
      </w:r>
    </w:p>
    <w:p w14:paraId="7C23D3B7" w14:textId="77777777" w:rsidR="00CA7C75" w:rsidRPr="00CE2D26" w:rsidRDefault="00CA7C75" w:rsidP="00CA7C75">
      <w:pPr>
        <w:pStyle w:val="NoSpacing"/>
        <w:spacing w:afterLines="120" w:after="288"/>
        <w:rPr>
          <w:rFonts w:ascii="Arial" w:hAnsi="Arial" w:cs="Arial"/>
          <w:i/>
          <w:iCs/>
          <w:color w:val="000000" w:themeColor="text1"/>
        </w:rPr>
      </w:pPr>
      <w:r w:rsidRPr="00CE2D26">
        <w:rPr>
          <w:rFonts w:ascii="Arial" w:hAnsi="Arial" w:cs="Arial"/>
          <w:color w:val="000000" w:themeColor="text1"/>
          <w:shd w:val="clear" w:color="auto" w:fill="FFFFFF"/>
        </w:rPr>
        <w:lastRenderedPageBreak/>
        <w:t xml:space="preserve">UNESCO. (2021). </w:t>
      </w:r>
      <w:r w:rsidRPr="00CE2D26">
        <w:rPr>
          <w:rFonts w:ascii="Arial" w:hAnsi="Arial" w:cs="Arial"/>
          <w:i/>
          <w:iCs/>
          <w:color w:val="000000" w:themeColor="text1"/>
          <w:shd w:val="clear" w:color="auto" w:fill="FFFFFF"/>
        </w:rPr>
        <w:t xml:space="preserve">The Chilling: Global trends in online violence against women journalists. </w:t>
      </w:r>
      <w:r w:rsidRPr="00CE2D26">
        <w:rPr>
          <w:rFonts w:ascii="Arial" w:hAnsi="Arial" w:cs="Arial"/>
          <w:color w:val="000000" w:themeColor="text1"/>
          <w:shd w:val="clear" w:color="auto" w:fill="FFFFFF"/>
        </w:rPr>
        <w:t xml:space="preserve">UNESCO. </w:t>
      </w:r>
      <w:r w:rsidRPr="00CE2D26">
        <w:rPr>
          <w:rFonts w:ascii="Arial" w:hAnsi="Arial" w:cs="Arial"/>
          <w:i/>
          <w:iCs/>
          <w:color w:val="000000" w:themeColor="text1"/>
          <w:shd w:val="clear" w:color="auto" w:fill="FFFFFF"/>
        </w:rPr>
        <w:t xml:space="preserve"> </w:t>
      </w:r>
    </w:p>
    <w:p w14:paraId="057E0167"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United Nations General Assembly. (1993). Declaration on the Elimination of Violence against Women, 20 December, A/Res/48/104. Available: https://www.ohchr.org/en/professionalinterest/pages/violenceagainstwomen.aspx </w:t>
      </w:r>
    </w:p>
    <w:p w14:paraId="4E0891E0"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VicHealth. (2018). (En)countering resistance: Strategies to respond to resistance to gender equality initiatives, Victorian Health Promotion Foundation, Melbourne. </w:t>
      </w:r>
    </w:p>
    <w:p w14:paraId="39D126D3"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VicHealth. 2018. </w:t>
      </w:r>
      <w:r w:rsidRPr="00CE2D26">
        <w:rPr>
          <w:rFonts w:ascii="Arial" w:hAnsi="Arial" w:cs="Arial"/>
          <w:i/>
          <w:iCs/>
          <w:color w:val="000000" w:themeColor="text1"/>
        </w:rPr>
        <w:t>(en)countering Resistance: Strategies to Respond to Resistance to Gender Equality Initiatives</w:t>
      </w:r>
      <w:r w:rsidRPr="00CE2D26">
        <w:rPr>
          <w:rFonts w:ascii="Arial" w:hAnsi="Arial" w:cs="Arial"/>
          <w:color w:val="000000" w:themeColor="text1"/>
        </w:rPr>
        <w:t>. Melbourne: VicHealth.</w:t>
      </w:r>
    </w:p>
    <w:p w14:paraId="27CB4E70"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 xml:space="preserve">Ward, R. (2020). Destroying the family and civilization: Marxism, safe schools and sexuality education. In Leahy, D., Fitzpatrick, K., and Wright, J. (Eds), </w:t>
      </w:r>
      <w:r w:rsidRPr="00CE2D26">
        <w:rPr>
          <w:rFonts w:ascii="Arial" w:hAnsi="Arial" w:cs="Arial"/>
          <w:i/>
          <w:iCs/>
          <w:color w:val="000000" w:themeColor="text1"/>
          <w:shd w:val="clear" w:color="auto" w:fill="FFFFFF"/>
        </w:rPr>
        <w:t>Social Theory and Health Education: Forging New Insights in Research.</w:t>
      </w:r>
      <w:r w:rsidRPr="00CE2D26">
        <w:rPr>
          <w:rFonts w:ascii="Arial" w:hAnsi="Arial" w:cs="Arial"/>
          <w:color w:val="000000" w:themeColor="text1"/>
          <w:shd w:val="clear" w:color="auto" w:fill="FFFFFF"/>
        </w:rPr>
        <w:t xml:space="preserve"> Oxon and New York: Routledge. </w:t>
      </w:r>
    </w:p>
    <w:p w14:paraId="3D8CD3BD"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shd w:val="clear" w:color="auto" w:fill="FFFFFF"/>
        </w:rPr>
        <w:t xml:space="preserve">Waylen, G. (2011). Gendered institutionalist analysis: Understanding democratic transitions. In Krook, M. L. and Mackay, F. (Eds). </w:t>
      </w:r>
      <w:r w:rsidRPr="00CE2D26">
        <w:rPr>
          <w:rFonts w:ascii="Arial" w:hAnsi="Arial" w:cs="Arial"/>
          <w:i/>
          <w:iCs/>
          <w:color w:val="000000" w:themeColor="text1"/>
          <w:shd w:val="clear" w:color="auto" w:fill="FFFFFF"/>
        </w:rPr>
        <w:t>Gender, Politics and Institutions</w:t>
      </w:r>
      <w:r w:rsidRPr="00CE2D26">
        <w:rPr>
          <w:rFonts w:ascii="Arial" w:hAnsi="Arial" w:cs="Arial"/>
          <w:color w:val="000000" w:themeColor="text1"/>
          <w:shd w:val="clear" w:color="auto" w:fill="FFFFFF"/>
        </w:rPr>
        <w:t> (pp. 147-162). Palgrave Macmillan, London.</w:t>
      </w:r>
    </w:p>
    <w:p w14:paraId="5EA3C436"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Webster, K., Diemer, K., Honey, N., Mannix, S., Mickle, J., Morgan, J., Parkes, A., Politoff, V., Powell, A., Stubbs, J., and Ward, A. (2018). </w:t>
      </w:r>
      <w:r w:rsidRPr="00CE2D26">
        <w:rPr>
          <w:rFonts w:ascii="Arial" w:hAnsi="Arial" w:cs="Arial"/>
          <w:i/>
          <w:iCs/>
          <w:color w:val="000000" w:themeColor="text1"/>
        </w:rPr>
        <w:t>Australians’ attitudes to violence against women and gender equality. Findings from the 2017 National Community Attitudes towards Violence Against Women Survey (NCAS)</w:t>
      </w:r>
      <w:r w:rsidRPr="00CE2D26">
        <w:rPr>
          <w:rFonts w:ascii="Arial" w:hAnsi="Arial" w:cs="Arial"/>
          <w:color w:val="000000" w:themeColor="text1"/>
        </w:rPr>
        <w:t xml:space="preserve">. (Research report, 03/2018). Sydney, NSW: ANROWS. </w:t>
      </w:r>
    </w:p>
    <w:p w14:paraId="5E4C73BC"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Williamson, S. (2020). Backlash, gender fatigue and organisational change: AIRAANZ 2019 presidential address. </w:t>
      </w:r>
      <w:r w:rsidRPr="00CE2D26">
        <w:rPr>
          <w:rFonts w:ascii="Arial" w:hAnsi="Arial" w:cs="Arial"/>
          <w:i/>
          <w:iCs/>
          <w:color w:val="000000" w:themeColor="text1"/>
          <w:shd w:val="clear" w:color="auto" w:fill="FFFFFF"/>
        </w:rPr>
        <w:t>Labour and Industry: a journal of the social and economic relations of work</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30</w:t>
      </w:r>
      <w:r w:rsidRPr="00CE2D26">
        <w:rPr>
          <w:rFonts w:ascii="Arial" w:hAnsi="Arial" w:cs="Arial"/>
          <w:color w:val="000000" w:themeColor="text1"/>
          <w:shd w:val="clear" w:color="auto" w:fill="FFFFFF"/>
        </w:rPr>
        <w:t>(1), 5-15.</w:t>
      </w:r>
    </w:p>
    <w:p w14:paraId="3600DAEC" w14:textId="77777777" w:rsidR="00CA7C75" w:rsidRPr="00CE2D26" w:rsidRDefault="00CA7C75" w:rsidP="00CA7C75">
      <w:pPr>
        <w:pStyle w:val="NoSpacing"/>
        <w:spacing w:afterLines="120" w:after="288"/>
        <w:rPr>
          <w:rFonts w:ascii="Arial" w:hAnsi="Arial" w:cs="Arial"/>
          <w:color w:val="000000" w:themeColor="text1"/>
        </w:rPr>
      </w:pPr>
      <w:r w:rsidRPr="00CE2D26">
        <w:rPr>
          <w:rFonts w:ascii="Arial" w:hAnsi="Arial" w:cs="Arial"/>
          <w:color w:val="000000" w:themeColor="text1"/>
        </w:rPr>
        <w:t xml:space="preserve">Women’s Health West, </w:t>
      </w:r>
      <w:r w:rsidRPr="00CE2D26">
        <w:rPr>
          <w:rFonts w:ascii="Arial" w:hAnsi="Arial" w:cs="Arial"/>
          <w:i/>
          <w:iCs/>
          <w:color w:val="000000" w:themeColor="text1"/>
        </w:rPr>
        <w:t xml:space="preserve">Speaking publicly about preventing men’s violence against women: Curly questions and language considerations, </w:t>
      </w:r>
      <w:hyperlink r:id="rId55" w:history="1">
        <w:r w:rsidRPr="00CE2D26">
          <w:rPr>
            <w:rStyle w:val="Hyperlink"/>
            <w:rFonts w:ascii="Arial" w:hAnsi="Arial" w:cs="Arial"/>
            <w:i/>
            <w:iCs/>
            <w:color w:val="000000" w:themeColor="text1"/>
            <w:lang w:eastAsia="en-GB"/>
          </w:rPr>
          <w:t>https://whwest.org.au/resource/speaking-publicly-about-preventing-mens-violence-against-women/</w:t>
        </w:r>
      </w:hyperlink>
    </w:p>
    <w:p w14:paraId="59DB7197"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 xml:space="preserve">Women’s Workplace Gender Equality Agency (WGEA). (2017). </w:t>
      </w:r>
      <w:r w:rsidRPr="00CE2D26">
        <w:rPr>
          <w:rFonts w:ascii="Arial" w:hAnsi="Arial" w:cs="Arial"/>
          <w:i/>
          <w:iCs/>
          <w:color w:val="000000" w:themeColor="text1"/>
          <w:shd w:val="clear" w:color="auto" w:fill="FFFFFF"/>
        </w:rPr>
        <w:t>Women’s economic security in retirement: Insight Paper.</w:t>
      </w:r>
      <w:r w:rsidRPr="00CE2D26">
        <w:rPr>
          <w:rFonts w:ascii="Arial" w:hAnsi="Arial" w:cs="Arial"/>
          <w:color w:val="000000" w:themeColor="text1"/>
          <w:shd w:val="clear" w:color="auto" w:fill="FFFFFF"/>
        </w:rPr>
        <w:t xml:space="preserve"> Available at: https://www.wgea.gov.au/sites/default/files/documents/Women's%20economic%20security%20in%20retirement.pdf. </w:t>
      </w:r>
    </w:p>
    <w:p w14:paraId="52A1903C" w14:textId="77777777" w:rsidR="00CA7C75" w:rsidRPr="00CE2D26" w:rsidRDefault="00CA7C75" w:rsidP="00CA7C75">
      <w:pPr>
        <w:pStyle w:val="NoSpacing"/>
        <w:spacing w:afterLines="120" w:after="288"/>
        <w:rPr>
          <w:rFonts w:ascii="Arial" w:hAnsi="Arial" w:cs="Arial"/>
          <w:color w:val="000000" w:themeColor="text1"/>
          <w:shd w:val="clear" w:color="auto" w:fill="FFFFFF"/>
        </w:rPr>
      </w:pPr>
      <w:r w:rsidRPr="00CE2D26">
        <w:rPr>
          <w:rFonts w:ascii="Arial" w:hAnsi="Arial" w:cs="Arial"/>
          <w:color w:val="000000" w:themeColor="text1"/>
          <w:shd w:val="clear" w:color="auto" w:fill="FFFFFF"/>
        </w:rPr>
        <w:t>Zhang, Y., and Breunig, R. V. (2021). Gender norms and domestic abuse: Evidence from Australia. </w:t>
      </w:r>
      <w:r w:rsidRPr="00CE2D26">
        <w:rPr>
          <w:rFonts w:ascii="Arial" w:hAnsi="Arial" w:cs="Arial"/>
          <w:i/>
          <w:iCs/>
          <w:color w:val="000000" w:themeColor="text1"/>
          <w:shd w:val="clear" w:color="auto" w:fill="FFFFFF"/>
        </w:rPr>
        <w:t>Tax and Transfer Policy Institute-working paper</w:t>
      </w:r>
      <w:r w:rsidRPr="00CE2D26">
        <w:rPr>
          <w:rFonts w:ascii="Arial" w:hAnsi="Arial" w:cs="Arial"/>
          <w:color w:val="000000" w:themeColor="text1"/>
          <w:shd w:val="clear" w:color="auto" w:fill="FFFFFF"/>
        </w:rPr>
        <w:t>, </w:t>
      </w:r>
      <w:r w:rsidRPr="00CE2D26">
        <w:rPr>
          <w:rFonts w:ascii="Arial" w:hAnsi="Arial" w:cs="Arial"/>
          <w:i/>
          <w:iCs/>
          <w:color w:val="000000" w:themeColor="text1"/>
          <w:shd w:val="clear" w:color="auto" w:fill="FFFFFF"/>
        </w:rPr>
        <w:t>5</w:t>
      </w:r>
      <w:r w:rsidRPr="00CE2D26">
        <w:rPr>
          <w:rFonts w:ascii="Arial" w:hAnsi="Arial" w:cs="Arial"/>
          <w:color w:val="000000" w:themeColor="text1"/>
          <w:shd w:val="clear" w:color="auto" w:fill="FFFFFF"/>
        </w:rPr>
        <w:t>.</w:t>
      </w:r>
    </w:p>
    <w:p w14:paraId="43A7D8CD" w14:textId="6ACC339D" w:rsidR="00EA14B1" w:rsidRDefault="00EA14B1" w:rsidP="007F50DB">
      <w:pPr>
        <w:pStyle w:val="RVbody"/>
        <w:rPr>
          <w:color w:val="17365D"/>
          <w:sz w:val="28"/>
          <w:szCs w:val="28"/>
        </w:rPr>
      </w:pPr>
      <w:r w:rsidRPr="00CE2D26">
        <w:fldChar w:fldCharType="end"/>
      </w:r>
    </w:p>
    <w:sectPr w:rsidR="00EA14B1" w:rsidSect="00CA7C75">
      <w:pgSz w:w="11900" w:h="16850"/>
      <w:pgMar w:top="1340" w:right="1060" w:bottom="1020" w:left="860" w:header="567" w:footer="8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37A9" w14:textId="77777777" w:rsidR="003537F4" w:rsidRDefault="003537F4">
      <w:r>
        <w:separator/>
      </w:r>
    </w:p>
  </w:endnote>
  <w:endnote w:type="continuationSeparator" w:id="0">
    <w:p w14:paraId="42864BEB" w14:textId="77777777" w:rsidR="003537F4" w:rsidRDefault="0035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Rubik">
    <w:altName w:val="Arial"/>
    <w:charset w:val="B1"/>
    <w:family w:val="auto"/>
    <w:pitch w:val="variable"/>
    <w:sig w:usb0="A0000A2F" w:usb1="5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charset w:val="00"/>
    <w:family w:val="roman"/>
    <w:pitch w:val="variable"/>
    <w:sig w:usb0="E0002AEF" w:usb1="C0007841" w:usb2="00000009" w:usb3="00000000" w:csb0="000001FF" w:csb1="00000000"/>
  </w:font>
  <w:font w:name="Rubik Light">
    <w:altName w:val="Arial"/>
    <w:charset w:val="B1"/>
    <w:family w:val="auto"/>
    <w:pitch w:val="variable"/>
    <w:sig w:usb0="A0000A2F" w:usb1="5000205B" w:usb2="00000000" w:usb3="00000000" w:csb0="000000B7"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AdvOT5843c571+20">
    <w:altName w:val="Cambria"/>
    <w:panose1 w:val="00000000000000000000"/>
    <w:charset w:val="00"/>
    <w:family w:val="roman"/>
    <w:notTrueType/>
    <w:pitch w:val="default"/>
  </w:font>
  <w:font w:name="AdvOT5843c571+fb">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CE0C" w14:textId="77777777" w:rsidR="00317558" w:rsidRDefault="00317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4A7A" w14:textId="3AD55C47" w:rsidR="007F50DB" w:rsidRDefault="007F50DB" w:rsidP="00D35C1A">
    <w:pPr>
      <w:pStyle w:val="Footer"/>
      <w:tabs>
        <w:tab w:val="clear" w:pos="4513"/>
        <w:tab w:val="clear" w:pos="9026"/>
        <w:tab w:val="left" w:pos="8864"/>
      </w:tabs>
      <w:jc w:val="left"/>
    </w:pPr>
    <w:r>
      <w:tab/>
    </w:r>
  </w:p>
  <w:p w14:paraId="1FE04CE1" w14:textId="55EBAAFC" w:rsidR="007F50DB" w:rsidRDefault="007F50DB" w:rsidP="00D35C1A">
    <w:pPr>
      <w:pStyle w:val="Footer"/>
    </w:pPr>
    <w:r>
      <w:rPr>
        <w:noProof/>
      </w:rPr>
      <mc:AlternateContent>
        <mc:Choice Requires="wps">
          <w:drawing>
            <wp:anchor distT="0" distB="0" distL="114300" distR="114300" simplePos="0" relativeHeight="251661312" behindDoc="0" locked="0" layoutInCell="1" allowOverlap="1" wp14:anchorId="201FA045" wp14:editId="0CCCDF29">
              <wp:simplePos x="0" y="0"/>
              <wp:positionH relativeFrom="column">
                <wp:posOffset>-687070</wp:posOffset>
              </wp:positionH>
              <wp:positionV relativeFrom="paragraph">
                <wp:posOffset>135255</wp:posOffset>
              </wp:positionV>
              <wp:extent cx="7823200" cy="1087200"/>
              <wp:effectExtent l="0" t="0" r="0" b="5080"/>
              <wp:wrapNone/>
              <wp:docPr id="125" name="Text Box 125"/>
              <wp:cNvGraphicFramePr/>
              <a:graphic xmlns:a="http://schemas.openxmlformats.org/drawingml/2006/main">
                <a:graphicData uri="http://schemas.microsoft.com/office/word/2010/wordprocessingShape">
                  <wps:wsp>
                    <wps:cNvSpPr txBox="1"/>
                    <wps:spPr>
                      <a:xfrm>
                        <a:off x="0" y="0"/>
                        <a:ext cx="7823200" cy="1087200"/>
                      </a:xfrm>
                      <a:prstGeom prst="rect">
                        <a:avLst/>
                      </a:prstGeom>
                      <a:solidFill>
                        <a:schemeClr val="bg1">
                          <a:lumMod val="95000"/>
                        </a:schemeClr>
                      </a:solidFill>
                      <a:ln w="6350">
                        <a:noFill/>
                      </a:ln>
                    </wps:spPr>
                    <wps:txbx>
                      <w:txbxContent>
                        <w:p w14:paraId="6D3CEBE7" w14:textId="6B74742B" w:rsidR="007F50DB" w:rsidRPr="00005EE4" w:rsidRDefault="007F50DB" w:rsidP="00C261CC">
                          <w:pPr>
                            <w:pStyle w:val="Footer"/>
                          </w:pPr>
                          <w:r w:rsidRPr="000F46A8">
                            <w:t xml:space="preserve">Understanding, </w:t>
                          </w:r>
                          <w:proofErr w:type="gramStart"/>
                          <w:r w:rsidRPr="000F46A8">
                            <w:t>monitoring</w:t>
                          </w:r>
                          <w:proofErr w:type="gramEnd"/>
                          <w:r w:rsidRPr="000F46A8">
                            <w:t xml:space="preserve"> and responding to resistance and backlash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FA045" id="_x0000_t202" coordsize="21600,21600" o:spt="202" path="m,l,21600r21600,l21600,xe">
              <v:stroke joinstyle="miter"/>
              <v:path gradientshapeok="t" o:connecttype="rect"/>
            </v:shapetype>
            <v:shape id="Text Box 125" o:spid="_x0000_s1040" type="#_x0000_t202" style="position:absolute;left:0;text-align:left;margin-left:-54.1pt;margin-top:10.65pt;width:616pt;height:8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" fillcolor="#f2f2f2 [3052]" stroked="f" strokeweight=".5pt">
              <v:textbox inset="0,0,0,0">
                <w:txbxContent>
                  <w:p w14:paraId="6D3CEBE7" w14:textId="6B74742B" w:rsidR="007F50DB" w:rsidRPr="00005EE4" w:rsidRDefault="007F50DB" w:rsidP="00C261CC">
                    <w:pPr>
                      <w:pStyle w:val="Footer"/>
                    </w:pPr>
                    <w:r w:rsidRPr="000F46A8">
                      <w:t xml:space="preserve">Understanding, </w:t>
                    </w:r>
                    <w:proofErr w:type="gramStart"/>
                    <w:r w:rsidRPr="000F46A8">
                      <w:t>monitoring</w:t>
                    </w:r>
                    <w:proofErr w:type="gramEnd"/>
                    <w:r w:rsidRPr="000F46A8">
                      <w:t xml:space="preserve"> and responding to resistance and backlash</w:t>
                    </w:r>
                  </w:p>
                </w:txbxContent>
              </v:textbox>
            </v:shape>
          </w:pict>
        </mc:Fallback>
      </mc:AlternateContent>
    </w:r>
  </w:p>
  <w:sdt>
    <w:sdtPr>
      <w:id w:val="-312026895"/>
      <w:docPartObj>
        <w:docPartGallery w:val="Page Numbers (Bottom of Page)"/>
        <w:docPartUnique/>
      </w:docPartObj>
    </w:sdtPr>
    <w:sdtEndPr>
      <w:rPr>
        <w:color w:val="7F7F7F" w:themeColor="background1" w:themeShade="7F"/>
        <w:spacing w:val="60"/>
      </w:rPr>
    </w:sdtEndPr>
    <w:sdtContent>
      <w:p w14:paraId="2AAE2E82" w14:textId="2F873B07" w:rsidR="007F50DB" w:rsidRDefault="007F50DB" w:rsidP="00C261CC">
        <w:pPr>
          <w:pStyle w:val="Footer"/>
          <w:pBdr>
            <w:top w:val="single" w:sz="4" w:space="14" w:color="D9D9D9" w:themeColor="background1" w:themeShade="D9"/>
          </w:pBdr>
          <w:jc w:val="left"/>
          <w:rPr>
            <w:color w:val="7F7F7F" w:themeColor="background1" w:themeShade="7F"/>
            <w:spacing w:val="60"/>
          </w:rPr>
        </w:pPr>
      </w:p>
      <w:p w14:paraId="14BBA8CC" w14:textId="51FF627A" w:rsidR="007F50DB" w:rsidRDefault="007F68BB" w:rsidP="00C261CC">
        <w:pPr>
          <w:pStyle w:val="Footer"/>
          <w:pBdr>
            <w:top w:val="single" w:sz="4" w:space="14" w:color="D9D9D9" w:themeColor="background1" w:themeShade="D9"/>
          </w:pBdr>
          <w:jc w:val="left"/>
        </w:pPr>
      </w:p>
    </w:sdtContent>
  </w:sdt>
  <w:p w14:paraId="54119F93" w14:textId="0309B503" w:rsidR="007F50DB" w:rsidRDefault="007F50DB">
    <w:pPr>
      <w:pStyle w:val="BodyText"/>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CA84" w14:textId="66CDE7B4" w:rsidR="007F50DB" w:rsidRDefault="007F50DB" w:rsidP="00811DE1">
    <w:pPr>
      <w:pStyle w:val="Footer"/>
      <w:jc w:val="left"/>
    </w:pPr>
    <w:r>
      <w:rPr>
        <w:noProof/>
      </w:rPr>
      <w:drawing>
        <wp:inline distT="0" distB="0" distL="0" distR="0" wp14:anchorId="043ECFD7" wp14:editId="78B830B6">
          <wp:extent cx="1219200" cy="9906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64DF" w14:textId="77777777" w:rsidR="003537F4" w:rsidRDefault="003537F4">
      <w:r>
        <w:separator/>
      </w:r>
    </w:p>
  </w:footnote>
  <w:footnote w:type="continuationSeparator" w:id="0">
    <w:p w14:paraId="33D8D4FF" w14:textId="77777777" w:rsidR="003537F4" w:rsidRDefault="003537F4">
      <w:r>
        <w:continuationSeparator/>
      </w:r>
    </w:p>
  </w:footnote>
  <w:footnote w:id="1">
    <w:p w14:paraId="1D2E5672" w14:textId="0BAD8970" w:rsidR="007F50DB" w:rsidRDefault="007F50DB" w:rsidP="00345D31">
      <w:pPr>
        <w:ind w:firstLine="1"/>
        <w:contextualSpacing/>
        <w:rPr>
          <w:rFonts w:eastAsia="MS Gothic"/>
          <w:sz w:val="16"/>
          <w:szCs w:val="16"/>
          <w:lang w:eastAsia="en-US" w:bidi="ar-SA"/>
        </w:rPr>
      </w:pPr>
      <w:r w:rsidRPr="007F50DB">
        <w:rPr>
          <w:rStyle w:val="FootnoteReference"/>
          <w:sz w:val="18"/>
          <w:szCs w:val="18"/>
        </w:rPr>
        <w:footnoteRef/>
      </w:r>
      <w:r w:rsidRPr="007F50DB">
        <w:rPr>
          <w:rStyle w:val="FootnoteReference"/>
          <w:sz w:val="18"/>
          <w:szCs w:val="18"/>
        </w:rPr>
        <w:t xml:space="preserve"> </w:t>
      </w:r>
      <w:r w:rsidRPr="007F50DB">
        <w:rPr>
          <w:rStyle w:val="FootnoteReference"/>
          <w:rFonts w:eastAsia="MS Gothic"/>
          <w:sz w:val="16"/>
          <w:szCs w:val="16"/>
          <w:vertAlign w:val="baseline"/>
          <w:lang w:eastAsia="en-US" w:bidi="ar-SA"/>
        </w:rPr>
        <w:t>Violence against women is defined as “any act of gender-based violence that causes or could cause physical, sexual or psychological harm or suffering to women, including threats of harm or coercion, in public or private life” (United Nations Declaration on the Elimination of Violence against Women, 1993).</w:t>
      </w:r>
    </w:p>
    <w:p w14:paraId="1B7E3A33" w14:textId="77777777" w:rsidR="00EE6BD8" w:rsidRDefault="00EE6BD8" w:rsidP="00345D31">
      <w:pPr>
        <w:ind w:firstLine="1"/>
        <w:contextualSpacing/>
        <w:rPr>
          <w:rFonts w:eastAsia="MS Gothic"/>
          <w:sz w:val="16"/>
          <w:szCs w:val="16"/>
          <w:lang w:eastAsia="en-US" w:bidi="ar-SA"/>
        </w:rPr>
      </w:pPr>
    </w:p>
    <w:p w14:paraId="2B3E7901" w14:textId="16B4D86F" w:rsidR="0098428F" w:rsidRDefault="0098428F" w:rsidP="00345D31">
      <w:pPr>
        <w:ind w:firstLine="1"/>
        <w:contextualSpacing/>
        <w:rPr>
          <w:rFonts w:eastAsia="MS Gothic"/>
          <w:sz w:val="16"/>
          <w:szCs w:val="16"/>
          <w:lang w:eastAsia="en-US" w:bidi="ar-SA"/>
        </w:rPr>
      </w:pPr>
    </w:p>
    <w:p w14:paraId="32DFCF3A" w14:textId="2F927A06" w:rsidR="0098428F" w:rsidRPr="007F50DB" w:rsidRDefault="0098428F" w:rsidP="00345D31">
      <w:pPr>
        <w:ind w:firstLine="1"/>
        <w:contextualSpacing/>
        <w:rPr>
          <w:color w:val="000000" w:themeColor="text1"/>
          <w:sz w:val="16"/>
          <w:szCs w:val="16"/>
        </w:rPr>
      </w:pPr>
      <w:r>
        <w:rPr>
          <w:rFonts w:eastAsia="MS Gothic"/>
          <w:sz w:val="16"/>
          <w:szCs w:val="16"/>
          <w:lang w:eastAsia="en-US" w:bidi="ar-SA"/>
        </w:rPr>
        <w:t>Note:</w:t>
      </w:r>
      <w:r w:rsidRPr="0098428F">
        <w:t xml:space="preserve"> </w:t>
      </w:r>
      <w:r w:rsidR="006C5B6E" w:rsidRPr="006C5B6E">
        <w:rPr>
          <w:rFonts w:eastAsia="MS Gothic"/>
          <w:sz w:val="16"/>
          <w:szCs w:val="16"/>
          <w:lang w:eastAsia="en-US"/>
        </w:rPr>
        <w:t xml:space="preserve">This Report was written prior to the publication of the second edition of </w:t>
      </w:r>
      <w:r w:rsidR="006C5B6E" w:rsidRPr="006C5B6E">
        <w:rPr>
          <w:rFonts w:eastAsia="MS Gothic"/>
          <w:i/>
          <w:iCs/>
          <w:sz w:val="16"/>
          <w:szCs w:val="16"/>
          <w:lang w:eastAsia="en-US"/>
        </w:rPr>
        <w:t xml:space="preserve">Change the story </w:t>
      </w:r>
      <w:r w:rsidR="006C5B6E" w:rsidRPr="006C5B6E">
        <w:rPr>
          <w:rFonts w:eastAsia="MS Gothic"/>
          <w:sz w:val="16"/>
          <w:szCs w:val="16"/>
          <w:lang w:eastAsia="en-US"/>
        </w:rPr>
        <w:t>(2021). However, this introductory section and some references</w:t>
      </w:r>
      <w:r w:rsidR="005D480F">
        <w:rPr>
          <w:rFonts w:eastAsia="MS Gothic"/>
          <w:sz w:val="16"/>
          <w:szCs w:val="16"/>
          <w:lang w:eastAsia="en-US"/>
        </w:rPr>
        <w:t>,</w:t>
      </w:r>
      <w:r w:rsidR="006C5B6E" w:rsidRPr="006C5B6E">
        <w:rPr>
          <w:rFonts w:eastAsia="MS Gothic"/>
          <w:sz w:val="16"/>
          <w:szCs w:val="16"/>
          <w:lang w:eastAsia="en-US"/>
        </w:rPr>
        <w:t xml:space="preserve"> where appropriate</w:t>
      </w:r>
      <w:r w:rsidR="005D480F">
        <w:rPr>
          <w:rFonts w:eastAsia="MS Gothic"/>
          <w:sz w:val="16"/>
          <w:szCs w:val="16"/>
          <w:lang w:eastAsia="en-US"/>
        </w:rPr>
        <w:t>,</w:t>
      </w:r>
      <w:r w:rsidR="006C5B6E" w:rsidRPr="006C5B6E">
        <w:rPr>
          <w:rFonts w:eastAsia="MS Gothic"/>
          <w:sz w:val="16"/>
          <w:szCs w:val="16"/>
          <w:lang w:eastAsia="en-US"/>
        </w:rPr>
        <w:t xml:space="preserve"> have been updated to refer to the second edition prior to its publication in June 2022.</w:t>
      </w:r>
    </w:p>
  </w:footnote>
  <w:footnote w:id="2">
    <w:p w14:paraId="2546CFFC" w14:textId="77777777" w:rsidR="007F50DB" w:rsidRPr="007F50DB" w:rsidRDefault="007F50DB" w:rsidP="007F50DB">
      <w:pPr>
        <w:ind w:firstLine="1"/>
        <w:contextualSpacing/>
        <w:rPr>
          <w:rStyle w:val="FootnoteReference"/>
          <w:rFonts w:eastAsia="MS Gothic"/>
          <w:sz w:val="16"/>
          <w:szCs w:val="16"/>
          <w:vertAlign w:val="baseline"/>
          <w:lang w:eastAsia="en-US"/>
        </w:rPr>
      </w:pPr>
      <w:r w:rsidRPr="007F50DB">
        <w:rPr>
          <w:rStyle w:val="FootnoteReference"/>
          <w:rFonts w:eastAsia="MS Gothic"/>
          <w:color w:val="000000" w:themeColor="text1"/>
          <w:sz w:val="18"/>
          <w:szCs w:val="18"/>
          <w:lang w:eastAsia="en-US" w:bidi="ar-SA"/>
        </w:rPr>
        <w:footnoteRef/>
      </w:r>
      <w:r w:rsidRPr="007F50DB">
        <w:rPr>
          <w:rStyle w:val="FootnoteReference"/>
          <w:rFonts w:eastAsia="MS Gothic"/>
          <w:lang w:eastAsia="en-US"/>
        </w:rPr>
        <w:t xml:space="preserve"> </w:t>
      </w:r>
      <w:r w:rsidRPr="007F50DB">
        <w:rPr>
          <w:rStyle w:val="FootnoteReference"/>
          <w:rFonts w:eastAsia="MS Gothic"/>
          <w:sz w:val="16"/>
          <w:szCs w:val="16"/>
          <w:vertAlign w:val="baseline"/>
          <w:lang w:eastAsia="en-US"/>
        </w:rPr>
        <w:t xml:space="preserve">Backlash and resistance strategies can also be used by progressive movements in reaction to regressive actions and inactions by individuals, organisations, institutions and societal norms, practices and structures. However, for the purposes of this research, resistance and backlash are terms used to refer to negative responses to efforts that seek to transform current gender inequalities and address the gendered drivers of violence against women. </w:t>
      </w:r>
    </w:p>
  </w:footnote>
  <w:footnote w:id="3">
    <w:p w14:paraId="30AD3D49" w14:textId="085D4AFC" w:rsidR="007F50DB" w:rsidRPr="007F50DB" w:rsidRDefault="007F50DB" w:rsidP="00DA7CD2">
      <w:pPr>
        <w:pStyle w:val="NoSpacing"/>
        <w:rPr>
          <w:rStyle w:val="FootnoteReference"/>
          <w:rFonts w:eastAsia="MS Gothic" w:cs="Arial"/>
          <w:sz w:val="16"/>
          <w:szCs w:val="16"/>
          <w:vertAlign w:val="baseline"/>
          <w:lang w:eastAsia="en-US"/>
        </w:rPr>
      </w:pPr>
      <w:r w:rsidRPr="00EE7DCC">
        <w:rPr>
          <w:rStyle w:val="FootnoteReference"/>
          <w:color w:val="000000" w:themeColor="text1"/>
          <w:sz w:val="20"/>
          <w:szCs w:val="20"/>
        </w:rPr>
        <w:footnoteRef/>
      </w:r>
      <w:r w:rsidRPr="007F50DB">
        <w:rPr>
          <w:rStyle w:val="FootnoteReference"/>
        </w:rPr>
        <w:t xml:space="preserve"> </w:t>
      </w:r>
      <w:r w:rsidRPr="007F50DB">
        <w:rPr>
          <w:rStyle w:val="FootnoteReference"/>
          <w:rFonts w:eastAsia="MS Gothic" w:cs="Arial"/>
          <w:sz w:val="16"/>
          <w:szCs w:val="16"/>
          <w:vertAlign w:val="baseline"/>
          <w:lang w:eastAsia="en-US"/>
        </w:rPr>
        <w:t>See for instance: Our Watch, (2018), Chang</w:t>
      </w:r>
      <w:r w:rsidR="004E2664">
        <w:rPr>
          <w:rFonts w:eastAsia="MS Gothic" w:cs="Arial"/>
          <w:sz w:val="16"/>
          <w:szCs w:val="16"/>
          <w:lang w:eastAsia="en-US"/>
        </w:rPr>
        <w:t>ing</w:t>
      </w:r>
      <w:r w:rsidRPr="007F50DB">
        <w:rPr>
          <w:rStyle w:val="FootnoteReference"/>
          <w:rFonts w:eastAsia="MS Gothic" w:cs="Arial"/>
          <w:sz w:val="16"/>
          <w:szCs w:val="16"/>
          <w:vertAlign w:val="baseline"/>
          <w:lang w:eastAsia="en-US"/>
        </w:rPr>
        <w:t xml:space="preserve"> the Picture; and Rainbow Health, (2020), Pride in Prevention. </w:t>
      </w:r>
    </w:p>
  </w:footnote>
  <w:footnote w:id="4">
    <w:p w14:paraId="335845C9" w14:textId="77777777" w:rsidR="007F50DB" w:rsidRPr="00EE7DCC" w:rsidRDefault="007F50DB" w:rsidP="0094591C">
      <w:pPr>
        <w:pStyle w:val="NoSpacing"/>
        <w:rPr>
          <w:color w:val="000000" w:themeColor="text1"/>
          <w:sz w:val="20"/>
          <w:szCs w:val="20"/>
        </w:rPr>
      </w:pPr>
      <w:r w:rsidRPr="00EE7DCC">
        <w:rPr>
          <w:rStyle w:val="FootnoteReference"/>
          <w:color w:val="000000" w:themeColor="text1"/>
          <w:sz w:val="20"/>
          <w:szCs w:val="20"/>
        </w:rPr>
        <w:footnoteRef/>
      </w:r>
      <w:r w:rsidRPr="007F50DB">
        <w:rPr>
          <w:rStyle w:val="FootnoteReference"/>
        </w:rPr>
        <w:t xml:space="preserve"> </w:t>
      </w:r>
      <w:r w:rsidRPr="007F50DB">
        <w:rPr>
          <w:rStyle w:val="FootnoteReference"/>
          <w:rFonts w:eastAsia="MS Gothic" w:cs="Arial"/>
          <w:sz w:val="16"/>
          <w:szCs w:val="16"/>
          <w:vertAlign w:val="baseline"/>
          <w:lang w:eastAsia="en-US"/>
        </w:rPr>
        <w:t xml:space="preserve">Our Watch (2021), Workplace Equality and Respect, </w:t>
      </w:r>
      <w:hyperlink r:id="rId1" w:history="1">
        <w:r w:rsidRPr="007F50DB">
          <w:rPr>
            <w:rStyle w:val="FootnoteReference"/>
            <w:rFonts w:eastAsia="MS Gothic" w:cs="Arial"/>
            <w:sz w:val="16"/>
            <w:szCs w:val="16"/>
            <w:vertAlign w:val="baseline"/>
            <w:lang w:eastAsia="en-US"/>
          </w:rPr>
          <w:t>https://workplace.ourwatch.org.au</w:t>
        </w:r>
      </w:hyperlink>
      <w:r w:rsidRPr="007F50DB">
        <w:rPr>
          <w:rStyle w:val="FootnoteReference"/>
          <w:rFonts w:eastAsia="MS Gothic" w:cs="Arial"/>
          <w:sz w:val="16"/>
          <w:szCs w:val="16"/>
          <w:vertAlign w:val="baseline"/>
          <w:lang w:eastAsia="en-US"/>
        </w:rPr>
        <w:t>.</w:t>
      </w:r>
    </w:p>
  </w:footnote>
  <w:footnote w:id="5">
    <w:p w14:paraId="4B499410" w14:textId="77777777" w:rsidR="007F50DB" w:rsidRPr="00EE7DCC" w:rsidRDefault="007F50DB" w:rsidP="007F50DB">
      <w:pPr>
        <w:pStyle w:val="NoSpacing"/>
        <w:rPr>
          <w:color w:val="000000" w:themeColor="text1"/>
          <w:lang w:val="en-US"/>
        </w:rPr>
      </w:pPr>
      <w:r w:rsidRPr="007F50DB">
        <w:rPr>
          <w:rStyle w:val="FootnoteReference"/>
          <w:color w:val="000000" w:themeColor="text1"/>
          <w:sz w:val="16"/>
          <w:szCs w:val="16"/>
        </w:rPr>
        <w:footnoteRef/>
      </w:r>
      <w:r w:rsidRPr="007F50DB">
        <w:rPr>
          <w:rStyle w:val="FootnoteReference"/>
          <w:sz w:val="20"/>
          <w:szCs w:val="20"/>
        </w:rPr>
        <w:t xml:space="preserve"> </w:t>
      </w:r>
      <w:r w:rsidRPr="007F50DB">
        <w:rPr>
          <w:rStyle w:val="FootnoteReference"/>
          <w:vertAlign w:val="baseline"/>
        </w:rPr>
        <w:t>Stakeholder 2, 2021.</w:t>
      </w:r>
    </w:p>
  </w:footnote>
  <w:footnote w:id="6">
    <w:p w14:paraId="10DAF427" w14:textId="77777777" w:rsidR="007F50DB" w:rsidRPr="00EE7DCC" w:rsidRDefault="007F50DB" w:rsidP="003C4492">
      <w:pPr>
        <w:pStyle w:val="NoSpacing"/>
        <w:rPr>
          <w:color w:val="000000" w:themeColor="text1"/>
          <w:sz w:val="20"/>
          <w:szCs w:val="20"/>
        </w:rPr>
      </w:pPr>
      <w:r w:rsidRPr="007F50DB">
        <w:rPr>
          <w:rStyle w:val="FootnoteReference"/>
          <w:color w:val="000000" w:themeColor="text1"/>
          <w:sz w:val="16"/>
          <w:szCs w:val="16"/>
        </w:rPr>
        <w:footnoteRef/>
      </w:r>
      <w:r w:rsidRPr="007F50DB">
        <w:rPr>
          <w:color w:val="000000" w:themeColor="text1"/>
          <w:sz w:val="16"/>
          <w:szCs w:val="16"/>
        </w:rPr>
        <w:t xml:space="preserve"> </w:t>
      </w:r>
      <w:r w:rsidRPr="007F50DB">
        <w:rPr>
          <w:rStyle w:val="FootnoteReference"/>
          <w:rFonts w:eastAsia="MS Gothic" w:cs="Arial"/>
          <w:sz w:val="16"/>
          <w:szCs w:val="16"/>
          <w:vertAlign w:val="baseline"/>
          <w:lang w:eastAsia="en-US"/>
        </w:rPr>
        <w:t xml:space="preserve">Other frameworks have been developed to analyse resistance and backlash, especially within organisations and workplaces (Colley, Williamson and Foley 2021; </w:t>
      </w:r>
      <w:r w:rsidRPr="007F50DB">
        <w:rPr>
          <w:rStyle w:val="FootnoteReference"/>
          <w:rFonts w:eastAsia="MS Gothic" w:cs="Arial"/>
          <w:sz w:val="16"/>
          <w:szCs w:val="16"/>
          <w:vertAlign w:val="baseline"/>
          <w:lang w:eastAsia="en-US"/>
        </w:rPr>
        <w:t>Mergeart and Lomardo 2014; Lombardo and Mergeart 2013; Thomas and Plaut 2008).</w:t>
      </w:r>
      <w:r w:rsidRPr="007F50DB">
        <w:rPr>
          <w:rStyle w:val="FootnoteReference"/>
          <w:rFonts w:eastAsia="MS Gothic" w:cs="Arial"/>
          <w:vertAlign w:val="baseline"/>
          <w:lang w:eastAsia="en-US"/>
        </w:rPr>
        <w:t xml:space="preserve"> </w:t>
      </w:r>
      <w:r w:rsidRPr="007F50DB">
        <w:rPr>
          <w:rStyle w:val="FootnoteReference"/>
          <w:rFonts w:eastAsia="MS Gothic" w:cs="Arial"/>
          <w:sz w:val="16"/>
          <w:szCs w:val="16"/>
          <w:vertAlign w:val="baseline"/>
          <w:lang w:eastAsia="en-US"/>
        </w:rPr>
        <w:t>However, given the uptake and dissemination of this typology among prevention of violence against women stakeholders, this report uses the typology offered by Flood et al. (2018).</w:t>
      </w:r>
    </w:p>
  </w:footnote>
  <w:footnote w:id="7">
    <w:p w14:paraId="3E0F4D31" w14:textId="77777777" w:rsidR="007F50DB" w:rsidRPr="007F50DB" w:rsidRDefault="007F50DB" w:rsidP="007F50DB">
      <w:pPr>
        <w:pStyle w:val="NoSpacing"/>
        <w:rPr>
          <w:rStyle w:val="FootnoteReference"/>
          <w:vertAlign w:val="baseline"/>
        </w:rPr>
      </w:pPr>
      <w:r w:rsidRPr="007F50DB">
        <w:rPr>
          <w:rStyle w:val="FootnoteReference"/>
          <w:color w:val="000000" w:themeColor="text1"/>
          <w:sz w:val="16"/>
          <w:szCs w:val="16"/>
        </w:rPr>
        <w:footnoteRef/>
      </w:r>
      <w:r w:rsidRPr="007F50DB">
        <w:rPr>
          <w:rStyle w:val="FootnoteReference"/>
        </w:rPr>
        <w:t xml:space="preserve"> </w:t>
      </w:r>
      <w:r w:rsidRPr="007F50DB">
        <w:rPr>
          <w:rStyle w:val="FootnoteReference"/>
          <w:vertAlign w:val="baseline"/>
        </w:rPr>
        <w:t>Stakeholder 4, 2021.</w:t>
      </w:r>
    </w:p>
  </w:footnote>
  <w:footnote w:id="8">
    <w:p w14:paraId="29DD3FAD" w14:textId="77777777" w:rsidR="007F50DB" w:rsidRPr="007F50DB" w:rsidRDefault="007F50DB" w:rsidP="007F50DB">
      <w:pPr>
        <w:pStyle w:val="NoSpacing"/>
        <w:rPr>
          <w:rStyle w:val="FootnoteReference"/>
          <w:vertAlign w:val="baseline"/>
        </w:rPr>
      </w:pPr>
      <w:r w:rsidRPr="007F50DB">
        <w:rPr>
          <w:rStyle w:val="FootnoteReference"/>
          <w:color w:val="000000" w:themeColor="text1"/>
          <w:sz w:val="16"/>
          <w:szCs w:val="16"/>
        </w:rPr>
        <w:footnoteRef/>
      </w:r>
      <w:r w:rsidRPr="007F50DB">
        <w:rPr>
          <w:rStyle w:val="FootnoteReference"/>
        </w:rPr>
        <w:t xml:space="preserve"> </w:t>
      </w:r>
      <w:r w:rsidRPr="007F50DB">
        <w:rPr>
          <w:rStyle w:val="FootnoteReference"/>
          <w:vertAlign w:val="baseline"/>
        </w:rPr>
        <w:t>Stakeholder 4, 2021.</w:t>
      </w:r>
    </w:p>
  </w:footnote>
  <w:footnote w:id="9">
    <w:p w14:paraId="2D4E2F40" w14:textId="77777777" w:rsidR="007F50DB" w:rsidRPr="005A7F77" w:rsidRDefault="007F50DB" w:rsidP="00B56147">
      <w:pPr>
        <w:pStyle w:val="FootnoteText"/>
        <w:rPr>
          <w:color w:val="000000" w:themeColor="text1"/>
          <w:lang w:val="en-US"/>
        </w:rPr>
      </w:pPr>
      <w:r w:rsidRPr="005A7F77">
        <w:rPr>
          <w:rStyle w:val="FootnoteReference"/>
          <w:color w:val="000000" w:themeColor="text1"/>
        </w:rPr>
        <w:footnoteRef/>
      </w:r>
      <w:r w:rsidRPr="005A7F77">
        <w:rPr>
          <w:color w:val="000000" w:themeColor="text1"/>
        </w:rPr>
        <w:t xml:space="preserve"> </w:t>
      </w:r>
      <w:r w:rsidRPr="007F50DB">
        <w:rPr>
          <w:rStyle w:val="FootnoteReference"/>
          <w:vertAlign w:val="baseline"/>
        </w:rPr>
        <w:t>Stakeholder 4, 2021, Melbourne.</w:t>
      </w:r>
    </w:p>
  </w:footnote>
  <w:footnote w:id="10">
    <w:p w14:paraId="4355F043" w14:textId="77777777" w:rsidR="007F50DB" w:rsidRPr="00EE7DCC" w:rsidRDefault="007F50DB" w:rsidP="00B56147">
      <w:pPr>
        <w:pStyle w:val="FootnoteText"/>
        <w:rPr>
          <w:color w:val="000000" w:themeColor="text1"/>
          <w:lang w:val="en-US"/>
        </w:rPr>
      </w:pPr>
      <w:r w:rsidRPr="007F50DB">
        <w:rPr>
          <w:rStyle w:val="FootnoteReference"/>
        </w:rPr>
        <w:footnoteRef/>
      </w:r>
      <w:r w:rsidRPr="007F50DB">
        <w:rPr>
          <w:rStyle w:val="FootnoteReference"/>
          <w:vertAlign w:val="baseline"/>
        </w:rPr>
        <w:t xml:space="preserve"> Stakeholder 3, 2021.</w:t>
      </w:r>
    </w:p>
  </w:footnote>
  <w:footnote w:id="11">
    <w:p w14:paraId="5D6C5C35" w14:textId="1EBC03EC" w:rsidR="007F50DB" w:rsidRPr="00EE7DCC" w:rsidRDefault="007F50DB" w:rsidP="005E7838">
      <w:pPr>
        <w:pStyle w:val="NoSpacing"/>
        <w:rPr>
          <w:color w:val="000000" w:themeColor="text1"/>
          <w:sz w:val="20"/>
          <w:szCs w:val="20"/>
          <w:lang w:val="en-US"/>
        </w:rPr>
      </w:pPr>
      <w:r w:rsidRPr="007F50DB">
        <w:rPr>
          <w:rStyle w:val="FootnoteReference"/>
          <w:color w:val="000000" w:themeColor="text1"/>
          <w:sz w:val="16"/>
          <w:szCs w:val="16"/>
        </w:rPr>
        <w:footnoteRef/>
      </w:r>
      <w:r w:rsidRPr="007F50DB">
        <w:rPr>
          <w:color w:val="000000" w:themeColor="text1"/>
          <w:sz w:val="16"/>
          <w:szCs w:val="16"/>
        </w:rPr>
        <w:t xml:space="preserve"> </w:t>
      </w:r>
      <w:r w:rsidRPr="007F50DB">
        <w:rPr>
          <w:rFonts w:ascii="Arial" w:eastAsia="MS Gothic" w:hAnsi="Arial" w:cs="Arial"/>
          <w:color w:val="000000" w:themeColor="text1"/>
          <w:sz w:val="16"/>
          <w:szCs w:val="16"/>
          <w:lang w:val="en-US" w:eastAsia="en-US"/>
        </w:rPr>
        <w:t xml:space="preserve">See </w:t>
      </w:r>
      <w:hyperlink r:id="rId2" w:history="1">
        <w:r w:rsidRPr="007F50DB">
          <w:rPr>
            <w:rFonts w:ascii="Arial" w:eastAsia="MS Gothic" w:hAnsi="Arial" w:cs="Arial"/>
            <w:sz w:val="16"/>
            <w:szCs w:val="16"/>
            <w:lang w:val="en-US" w:eastAsia="en-US"/>
          </w:rPr>
          <w:t>Workplace</w:t>
        </w:r>
      </w:hyperlink>
      <w:r w:rsidRPr="007F50DB">
        <w:rPr>
          <w:rFonts w:ascii="Arial" w:eastAsia="MS Gothic" w:hAnsi="Arial" w:cs="Arial"/>
          <w:sz w:val="16"/>
          <w:szCs w:val="16"/>
          <w:lang w:val="en-US" w:eastAsia="en-US"/>
        </w:rPr>
        <w:t xml:space="preserve"> Gender Equality Agency (WGEA), Non-compliant </w:t>
      </w:r>
      <w:r w:rsidRPr="007F50DB">
        <w:rPr>
          <w:rFonts w:ascii="Arial" w:eastAsia="MS Gothic" w:hAnsi="Arial" w:cs="Arial"/>
          <w:sz w:val="16"/>
          <w:szCs w:val="16"/>
          <w:lang w:val="en-US" w:eastAsia="en-US"/>
        </w:rPr>
        <w:t xml:space="preserve">organisations list, 16th April 2021, </w:t>
      </w:r>
      <w:hyperlink r:id="rId3" w:history="1">
        <w:r w:rsidRPr="007F50DB">
          <w:rPr>
            <w:rFonts w:ascii="Arial" w:eastAsia="MS Gothic" w:hAnsi="Arial" w:cs="Arial"/>
            <w:sz w:val="16"/>
            <w:szCs w:val="16"/>
            <w:lang w:val="en-US" w:eastAsia="en-US"/>
          </w:rPr>
          <w:t>https://www.wgea.gov.au/what-we-do/compliance-reporting/non-compliant-list</w:t>
        </w:r>
      </w:hyperlink>
      <w:r w:rsidRPr="007F50DB">
        <w:rPr>
          <w:rFonts w:ascii="Arial" w:eastAsia="MS Gothic" w:hAnsi="Arial" w:cs="Arial"/>
          <w:sz w:val="16"/>
          <w:szCs w:val="16"/>
          <w:lang w:val="en-US" w:eastAsia="en-US"/>
        </w:rPr>
        <w:t>.</w:t>
      </w:r>
      <w:r w:rsidRPr="00EE7DCC">
        <w:rPr>
          <w:rStyle w:val="Hyperlink"/>
          <w:color w:val="000000" w:themeColor="text1"/>
          <w:sz w:val="20"/>
          <w:szCs w:val="20"/>
        </w:rPr>
        <w:t xml:space="preserve"> </w:t>
      </w:r>
      <w:r w:rsidRPr="00EE7DCC">
        <w:rPr>
          <w:color w:val="000000" w:themeColor="text1"/>
          <w:sz w:val="20"/>
          <w:szCs w:val="20"/>
        </w:rPr>
        <w:t xml:space="preserve"> </w:t>
      </w:r>
    </w:p>
  </w:footnote>
  <w:footnote w:id="12">
    <w:p w14:paraId="1F4041AB" w14:textId="5E8EF6B3" w:rsidR="007F50DB" w:rsidRPr="007F50DB" w:rsidRDefault="007F50DB" w:rsidP="00AE52AD">
      <w:pPr>
        <w:pStyle w:val="NoSpacing"/>
        <w:rPr>
          <w:rFonts w:ascii="Arial" w:eastAsia="MS Gothic" w:hAnsi="Arial" w:cs="Arial"/>
          <w:sz w:val="16"/>
          <w:szCs w:val="16"/>
          <w:lang w:val="en-US" w:eastAsia="en-US"/>
        </w:rPr>
      </w:pPr>
      <w:r w:rsidRPr="007F50DB">
        <w:rPr>
          <w:rStyle w:val="FootnoteReference"/>
          <w:color w:val="000000" w:themeColor="text1"/>
          <w:sz w:val="16"/>
          <w:szCs w:val="16"/>
        </w:rPr>
        <w:footnoteRef/>
      </w:r>
      <w:r w:rsidRPr="007F50DB">
        <w:rPr>
          <w:color w:val="000000" w:themeColor="text1"/>
          <w:sz w:val="16"/>
          <w:szCs w:val="16"/>
        </w:rPr>
        <w:t xml:space="preserve"> </w:t>
      </w:r>
      <w:r w:rsidRPr="007F50DB">
        <w:rPr>
          <w:rFonts w:ascii="Arial" w:eastAsia="MS Gothic" w:hAnsi="Arial" w:cs="Arial"/>
          <w:sz w:val="16"/>
          <w:szCs w:val="16"/>
          <w:lang w:val="en-US" w:eastAsia="en-US"/>
        </w:rPr>
        <w:t xml:space="preserve">Sex is the biological categories of male or female associated with genitalia (although not accounting for intersex), whereas gender is the social constructs that are associated with and </w:t>
      </w:r>
      <w:r w:rsidRPr="007F50DB">
        <w:rPr>
          <w:rFonts w:ascii="Arial" w:eastAsia="MS Gothic" w:hAnsi="Arial" w:cs="Arial"/>
          <w:sz w:val="16"/>
          <w:szCs w:val="16"/>
          <w:lang w:val="en-US" w:eastAsia="en-US"/>
        </w:rPr>
        <w:t>characteri</w:t>
      </w:r>
      <w:r w:rsidR="004855BA">
        <w:rPr>
          <w:rFonts w:ascii="Arial" w:eastAsia="MS Gothic" w:hAnsi="Arial" w:cs="Arial"/>
          <w:sz w:val="16"/>
          <w:szCs w:val="16"/>
          <w:lang w:val="en-US" w:eastAsia="en-US"/>
        </w:rPr>
        <w:t>s</w:t>
      </w:r>
      <w:r w:rsidRPr="007F50DB">
        <w:rPr>
          <w:rFonts w:ascii="Arial" w:eastAsia="MS Gothic" w:hAnsi="Arial" w:cs="Arial"/>
          <w:sz w:val="16"/>
          <w:szCs w:val="16"/>
          <w:lang w:val="en-US" w:eastAsia="en-US"/>
        </w:rPr>
        <w:t xml:space="preserve">es those categories. </w:t>
      </w:r>
    </w:p>
  </w:footnote>
  <w:footnote w:id="13">
    <w:p w14:paraId="7DFF8882" w14:textId="73FE5EC6" w:rsidR="007F50DB" w:rsidRPr="007F50DB" w:rsidRDefault="007F50DB" w:rsidP="00CD5E7D">
      <w:pPr>
        <w:pStyle w:val="NoSpacing"/>
        <w:rPr>
          <w:rFonts w:eastAsia="Times New Roman" w:cs="Calibri"/>
          <w:color w:val="000000" w:themeColor="text1"/>
          <w:sz w:val="16"/>
          <w:szCs w:val="16"/>
          <w:lang w:eastAsia="en-GB"/>
        </w:rPr>
      </w:pPr>
      <w:r w:rsidRPr="007F50DB">
        <w:rPr>
          <w:rStyle w:val="FootnoteReference"/>
          <w:color w:val="000000" w:themeColor="text1"/>
          <w:sz w:val="16"/>
          <w:szCs w:val="16"/>
        </w:rPr>
        <w:footnoteRef/>
      </w:r>
      <w:r w:rsidR="00803BF0">
        <w:rPr>
          <w:rFonts w:ascii="Segoe UI" w:eastAsiaTheme="minorHAnsi" w:hAnsi="Segoe UI" w:cs="Segoe UI"/>
          <w:color w:val="000000"/>
          <w:sz w:val="20"/>
          <w:szCs w:val="20"/>
          <w:lang w:eastAsia="en-US"/>
        </w:rPr>
        <w:t xml:space="preserve"> Our Watch. 2020. "When you see disrespect towards women online, Show </w:t>
      </w:r>
      <w:r w:rsidR="00803BF0">
        <w:rPr>
          <w:rFonts w:ascii="Segoe UI" w:eastAsiaTheme="minorHAnsi" w:hAnsi="Segoe UI" w:cs="Segoe UI"/>
          <w:color w:val="000000"/>
          <w:sz w:val="20"/>
          <w:szCs w:val="20"/>
          <w:lang w:eastAsia="en-US"/>
        </w:rPr>
        <w:t xml:space="preserve">its not OK. Comment thread" Facebook, November 16, 2020. https://www.facebook.com/514475628623089/posts/4766701273400482 </w:t>
      </w:r>
      <w:r w:rsidR="00803BF0" w:rsidRPr="007F50DB">
        <w:rPr>
          <w:rFonts w:eastAsia="Times New Roman" w:cs="Calibri"/>
          <w:color w:val="000000" w:themeColor="text1"/>
          <w:sz w:val="16"/>
          <w:szCs w:val="16"/>
          <w:lang w:eastAsia="en-GB"/>
        </w:rPr>
        <w:t xml:space="preserve"> </w:t>
      </w:r>
    </w:p>
  </w:footnote>
  <w:footnote w:id="14">
    <w:p w14:paraId="019E7A54" w14:textId="77777777" w:rsidR="007F50DB" w:rsidRPr="007F50DB" w:rsidRDefault="007F50DB" w:rsidP="00015ABE">
      <w:pPr>
        <w:pStyle w:val="FootnoteText"/>
        <w:rPr>
          <w:lang w:val="en-US"/>
        </w:rPr>
      </w:pPr>
      <w:r w:rsidRPr="005A7F77">
        <w:rPr>
          <w:rStyle w:val="FootnoteReference"/>
          <w:color w:val="000000" w:themeColor="text1"/>
        </w:rPr>
        <w:footnoteRef/>
      </w:r>
      <w:r w:rsidRPr="005A7F77">
        <w:rPr>
          <w:color w:val="000000" w:themeColor="text1"/>
        </w:rPr>
        <w:t xml:space="preserve"> </w:t>
      </w:r>
      <w:r w:rsidRPr="007F50DB">
        <w:rPr>
          <w:lang w:val="en-US"/>
        </w:rPr>
        <w:t xml:space="preserve">Organisations are a subset of institutions that is a defined body with structure and hierarchy and internal rules and regulations, such as a workplace or </w:t>
      </w:r>
      <w:r w:rsidRPr="007F50DB">
        <w:rPr>
          <w:lang w:val="en-US"/>
        </w:rPr>
        <w:t>particular setting. The term organisation is used in the guide to denote the concrete mechanisms for implementing a primary prevention initiative as a strategy of organisational development and change</w:t>
      </w:r>
    </w:p>
  </w:footnote>
  <w:footnote w:id="15">
    <w:p w14:paraId="37C78D28" w14:textId="77777777" w:rsidR="007F50DB" w:rsidRPr="007F50DB" w:rsidRDefault="007F50DB" w:rsidP="00015ABE">
      <w:pPr>
        <w:pStyle w:val="NoSpacing"/>
        <w:rPr>
          <w:rFonts w:ascii="Arial" w:eastAsia="MS Gothic" w:hAnsi="Arial" w:cs="Arial"/>
          <w:sz w:val="16"/>
          <w:szCs w:val="16"/>
          <w:lang w:val="en-US" w:eastAsia="en-US"/>
        </w:rPr>
      </w:pPr>
      <w:r w:rsidRPr="007F50DB">
        <w:rPr>
          <w:rFonts w:eastAsia="MS Gothic" w:cs="Arial"/>
          <w:sz w:val="16"/>
          <w:szCs w:val="16"/>
          <w:lang w:val="en-US" w:eastAsia="en-US"/>
        </w:rPr>
        <w:footnoteRef/>
      </w:r>
      <w:r w:rsidRPr="007F50DB">
        <w:rPr>
          <w:rFonts w:ascii="Arial" w:eastAsia="MS Gothic" w:hAnsi="Arial" w:cs="Arial"/>
          <w:sz w:val="16"/>
          <w:szCs w:val="16"/>
          <w:vertAlign w:val="superscript"/>
          <w:lang w:val="en-US" w:eastAsia="en-US"/>
        </w:rPr>
        <w:t xml:space="preserve"> </w:t>
      </w:r>
      <w:r w:rsidRPr="007F50DB">
        <w:rPr>
          <w:rFonts w:ascii="Arial" w:eastAsia="MS Gothic" w:hAnsi="Arial" w:cs="Arial"/>
          <w:sz w:val="16"/>
          <w:szCs w:val="16"/>
          <w:lang w:val="en-US" w:eastAsia="en-US"/>
        </w:rPr>
        <w:t>Our Watch, Evidence Review: Approaches and methods for evaluating complex violence prevention initiatives (unpublished); Dozois, E., Langlois, M., Blanchet-Cohen, N., ‘A Practitioner’s Guide to Developmental Evaluation’, 2010, pg. 37. The J.W. McConnell Family Foundation and the International Institute for Child Rights and Development.</w:t>
      </w:r>
    </w:p>
  </w:footnote>
  <w:footnote w:id="16">
    <w:p w14:paraId="75112532" w14:textId="77777777" w:rsidR="007F50DB" w:rsidRPr="00EE7DCC" w:rsidRDefault="007F50DB" w:rsidP="00015ABE">
      <w:pPr>
        <w:pStyle w:val="FootnoteText"/>
        <w:rPr>
          <w:color w:val="000000" w:themeColor="text1"/>
          <w:lang w:val="en-US"/>
        </w:rPr>
      </w:pPr>
      <w:r w:rsidRPr="00EE7DCC">
        <w:rPr>
          <w:rStyle w:val="FootnoteReference"/>
          <w:color w:val="000000" w:themeColor="text1"/>
        </w:rPr>
        <w:footnoteRef/>
      </w:r>
      <w:r w:rsidRPr="00EE7DCC">
        <w:rPr>
          <w:color w:val="000000" w:themeColor="text1"/>
        </w:rPr>
        <w:t xml:space="preserve"> </w:t>
      </w:r>
      <w:r w:rsidRPr="007F50DB">
        <w:rPr>
          <w:lang w:val="en-US"/>
        </w:rPr>
        <w:t xml:space="preserve">Stakeholder 4, 2021. </w:t>
      </w:r>
    </w:p>
  </w:footnote>
  <w:footnote w:id="17">
    <w:p w14:paraId="3CB2FEC5" w14:textId="77777777" w:rsidR="007F50DB" w:rsidRPr="00EE7DCC" w:rsidRDefault="007F50DB" w:rsidP="00DE00BB">
      <w:pPr>
        <w:pStyle w:val="FootnoteText"/>
        <w:rPr>
          <w:color w:val="000000" w:themeColor="text1"/>
          <w:lang w:val="en-US"/>
        </w:rPr>
      </w:pPr>
      <w:r w:rsidRPr="00EE7DCC">
        <w:rPr>
          <w:rStyle w:val="FootnoteReference"/>
          <w:color w:val="000000" w:themeColor="text1"/>
        </w:rPr>
        <w:footnoteRef/>
      </w:r>
      <w:r w:rsidRPr="00EE7DCC">
        <w:rPr>
          <w:color w:val="000000" w:themeColor="text1"/>
        </w:rPr>
        <w:t xml:space="preserve"> </w:t>
      </w:r>
      <w:r w:rsidRPr="007F50DB">
        <w:rPr>
          <w:lang w:val="en-US"/>
        </w:rPr>
        <w:t>Stakeholder 1, 2021.</w:t>
      </w:r>
    </w:p>
  </w:footnote>
  <w:footnote w:id="18">
    <w:p w14:paraId="3A0078EB" w14:textId="77777777" w:rsidR="007F50DB" w:rsidRPr="007F50DB" w:rsidRDefault="007F50DB" w:rsidP="00DE00BB">
      <w:pPr>
        <w:pStyle w:val="NoSpacing"/>
        <w:rPr>
          <w:color w:val="000000" w:themeColor="text1"/>
          <w:sz w:val="16"/>
          <w:szCs w:val="16"/>
          <w:lang w:val="en-US"/>
        </w:rPr>
      </w:pPr>
      <w:r w:rsidRPr="007F50DB">
        <w:rPr>
          <w:rStyle w:val="FootnoteReference"/>
          <w:color w:val="000000" w:themeColor="text1"/>
          <w:sz w:val="16"/>
          <w:szCs w:val="16"/>
        </w:rPr>
        <w:footnoteRef/>
      </w:r>
      <w:r w:rsidRPr="007F50DB">
        <w:rPr>
          <w:color w:val="000000" w:themeColor="text1"/>
          <w:sz w:val="16"/>
          <w:szCs w:val="16"/>
        </w:rPr>
        <w:t xml:space="preserve"> </w:t>
      </w:r>
      <w:r w:rsidRPr="007F50DB">
        <w:rPr>
          <w:rFonts w:ascii="Arial" w:eastAsia="MS Gothic" w:hAnsi="Arial" w:cs="Arial"/>
          <w:sz w:val="16"/>
          <w:szCs w:val="16"/>
          <w:lang w:val="en-US" w:eastAsia="en-US"/>
        </w:rPr>
        <w:t xml:space="preserve">See Our Watch (2019), Tools and Resources: Engaging leaders and securing commitment, available at </w:t>
      </w:r>
      <w:hyperlink r:id="rId4" w:history="1">
        <w:r w:rsidRPr="007F50DB">
          <w:rPr>
            <w:rFonts w:ascii="Arial" w:eastAsia="MS Gothic" w:hAnsi="Arial" w:cs="Arial"/>
            <w:sz w:val="16"/>
            <w:szCs w:val="16"/>
            <w:lang w:val="en-US" w:eastAsia="en-US"/>
          </w:rPr>
          <w:t>https://workplace.ourwatch.org.au/tools-and-resources/engaging-leaders-and-securing-commitment/</w:t>
        </w:r>
      </w:hyperlink>
      <w:r w:rsidRPr="007F50DB">
        <w:rPr>
          <w:color w:val="000000" w:themeColor="text1"/>
          <w:sz w:val="16"/>
          <w:szCs w:val="16"/>
        </w:rPr>
        <w:t xml:space="preserve"> </w:t>
      </w:r>
    </w:p>
  </w:footnote>
  <w:footnote w:id="19">
    <w:p w14:paraId="3F2BB1FA" w14:textId="77777777" w:rsidR="007F50DB" w:rsidRPr="00EE7DCC" w:rsidRDefault="007F50DB" w:rsidP="00DE00BB">
      <w:pPr>
        <w:pStyle w:val="FootnoteText"/>
        <w:rPr>
          <w:color w:val="000000" w:themeColor="text1"/>
          <w:lang w:val="en-US"/>
        </w:rPr>
      </w:pPr>
      <w:r w:rsidRPr="005A7F77">
        <w:rPr>
          <w:rStyle w:val="FootnoteReference"/>
          <w:color w:val="000000" w:themeColor="text1"/>
        </w:rPr>
        <w:footnoteRef/>
      </w:r>
      <w:r w:rsidRPr="005A7F77">
        <w:rPr>
          <w:color w:val="000000" w:themeColor="text1"/>
        </w:rPr>
        <w:t xml:space="preserve"> </w:t>
      </w:r>
      <w:r w:rsidRPr="007F50DB">
        <w:rPr>
          <w:lang w:val="en-US"/>
        </w:rPr>
        <w:t>Stakeholder 4, 2021.</w:t>
      </w:r>
    </w:p>
  </w:footnote>
  <w:footnote w:id="20">
    <w:p w14:paraId="71F43140" w14:textId="77777777" w:rsidR="007F50DB" w:rsidRPr="007F50DB" w:rsidRDefault="007F50DB" w:rsidP="00105C19">
      <w:pPr>
        <w:pStyle w:val="NoSpacing"/>
        <w:rPr>
          <w:rFonts w:ascii="Arial" w:eastAsia="MS Gothic" w:hAnsi="Arial" w:cs="Arial"/>
          <w:sz w:val="16"/>
          <w:szCs w:val="16"/>
          <w:lang w:val="en-US" w:eastAsia="en-US"/>
        </w:rPr>
      </w:pPr>
      <w:r w:rsidRPr="007F50DB">
        <w:rPr>
          <w:rStyle w:val="FootnoteReference"/>
          <w:color w:val="000000" w:themeColor="text1"/>
          <w:sz w:val="16"/>
          <w:szCs w:val="16"/>
        </w:rPr>
        <w:footnoteRef/>
      </w:r>
      <w:r w:rsidRPr="007F50DB">
        <w:rPr>
          <w:color w:val="000000" w:themeColor="text1"/>
          <w:sz w:val="16"/>
          <w:szCs w:val="16"/>
        </w:rPr>
        <w:t xml:space="preserve"> </w:t>
      </w:r>
      <w:r w:rsidRPr="007F50DB">
        <w:rPr>
          <w:rFonts w:ascii="Arial" w:eastAsia="MS Gothic" w:hAnsi="Arial" w:cs="Arial"/>
          <w:sz w:val="16"/>
          <w:szCs w:val="16"/>
          <w:lang w:val="en-US" w:eastAsia="en-US"/>
        </w:rPr>
        <w:t xml:space="preserve">European Institute for Gender Equality, Institutional Transformation: Gender Mainstreaming Toolkit (2016, p. 18) outlines the positives and negatives of external and internal processes of gathering these types of information. </w:t>
      </w:r>
    </w:p>
  </w:footnote>
  <w:footnote w:id="21">
    <w:p w14:paraId="40126175" w14:textId="77777777" w:rsidR="007F50DB" w:rsidRPr="00EE7DCC" w:rsidRDefault="007F50DB" w:rsidP="00105C19">
      <w:pPr>
        <w:pStyle w:val="NoSpacing"/>
        <w:rPr>
          <w:color w:val="000000" w:themeColor="text1"/>
          <w:sz w:val="20"/>
          <w:szCs w:val="20"/>
          <w:lang w:val="en-US"/>
        </w:rPr>
      </w:pPr>
      <w:r w:rsidRPr="007F50DB">
        <w:rPr>
          <w:rStyle w:val="FootnoteReference"/>
          <w:color w:val="000000" w:themeColor="text1"/>
          <w:sz w:val="16"/>
          <w:szCs w:val="16"/>
        </w:rPr>
        <w:footnoteRef/>
      </w:r>
      <w:r w:rsidRPr="007F50DB">
        <w:rPr>
          <w:color w:val="000000" w:themeColor="text1"/>
          <w:sz w:val="16"/>
          <w:szCs w:val="16"/>
        </w:rPr>
        <w:t xml:space="preserve"> </w:t>
      </w:r>
      <w:r w:rsidRPr="007F50DB">
        <w:rPr>
          <w:rFonts w:ascii="Arial" w:eastAsia="MS Gothic" w:hAnsi="Arial" w:cs="Arial"/>
          <w:sz w:val="16"/>
          <w:szCs w:val="16"/>
          <w:lang w:val="en-US" w:eastAsia="en-US"/>
        </w:rPr>
        <w:t xml:space="preserve">Our Watch (2017), Workplace self-assessment, </w:t>
      </w:r>
      <w:hyperlink r:id="rId5" w:history="1">
        <w:r w:rsidRPr="007F50DB">
          <w:rPr>
            <w:rFonts w:ascii="Arial" w:eastAsia="MS Gothic" w:hAnsi="Arial" w:cs="Arial"/>
            <w:sz w:val="16"/>
            <w:szCs w:val="16"/>
            <w:lang w:eastAsia="en-US"/>
          </w:rPr>
          <w:t>https://workplace.ourwatch.org.au/resource/workplace-equality-and-respect-self-assessment-tool</w:t>
        </w:r>
      </w:hyperlink>
      <w:r w:rsidRPr="00EE7DCC">
        <w:rPr>
          <w:color w:val="000000" w:themeColor="text1"/>
          <w:sz w:val="20"/>
          <w:szCs w:val="20"/>
          <w:lang w:val="en-US"/>
        </w:rPr>
        <w:t xml:space="preserve"> </w:t>
      </w:r>
    </w:p>
  </w:footnote>
  <w:footnote w:id="22">
    <w:p w14:paraId="0CEB7C35" w14:textId="77777777" w:rsidR="007F50DB" w:rsidRPr="007F50DB" w:rsidRDefault="007F50DB" w:rsidP="00105C19">
      <w:pPr>
        <w:pStyle w:val="NoSpacing"/>
        <w:rPr>
          <w:rFonts w:ascii="Arial" w:hAnsi="Arial" w:cs="Arial"/>
          <w:color w:val="000000" w:themeColor="text1"/>
          <w:sz w:val="16"/>
          <w:szCs w:val="16"/>
          <w:lang w:val="en-US"/>
        </w:rPr>
      </w:pPr>
      <w:r w:rsidRPr="007F50DB">
        <w:rPr>
          <w:rStyle w:val="FootnoteReference"/>
          <w:rFonts w:cs="Arial"/>
          <w:color w:val="000000" w:themeColor="text1"/>
          <w:sz w:val="16"/>
          <w:szCs w:val="16"/>
        </w:rPr>
        <w:footnoteRef/>
      </w:r>
      <w:r w:rsidRPr="007F50DB">
        <w:rPr>
          <w:rFonts w:ascii="Arial" w:hAnsi="Arial" w:cs="Arial"/>
          <w:color w:val="000000" w:themeColor="text1"/>
          <w:sz w:val="16"/>
          <w:szCs w:val="16"/>
        </w:rPr>
        <w:t xml:space="preserve"> </w:t>
      </w:r>
      <w:r w:rsidRPr="007F50DB">
        <w:rPr>
          <w:rFonts w:ascii="Arial" w:eastAsia="MS Gothic" w:hAnsi="Arial" w:cs="Arial"/>
          <w:sz w:val="16"/>
          <w:szCs w:val="16"/>
          <w:lang w:val="en-US" w:eastAsia="en-US"/>
        </w:rPr>
        <w:t xml:space="preserve">The Our Watch WER standards can be found here: </w:t>
      </w:r>
      <w:hyperlink r:id="rId6" w:history="1">
        <w:r w:rsidRPr="007F50DB">
          <w:rPr>
            <w:rFonts w:ascii="Arial" w:eastAsia="MS Gothic" w:hAnsi="Arial" w:cs="Arial"/>
            <w:sz w:val="16"/>
            <w:szCs w:val="16"/>
            <w:lang w:eastAsia="en-US"/>
          </w:rPr>
          <w:t>https://workplace.ourwatch.org.au/what-is-workplace-equality-respect/</w:t>
        </w:r>
      </w:hyperlink>
      <w:r w:rsidRPr="007F50DB">
        <w:rPr>
          <w:rFonts w:ascii="Arial" w:eastAsia="MS Gothic" w:hAnsi="Arial" w:cs="Arial"/>
          <w:sz w:val="16"/>
          <w:szCs w:val="16"/>
          <w:lang w:val="en-US" w:eastAsia="en-US"/>
        </w:rPr>
        <w:t>.</w:t>
      </w:r>
      <w:r w:rsidRPr="007F50DB">
        <w:rPr>
          <w:rFonts w:ascii="Arial" w:hAnsi="Arial" w:cs="Arial"/>
          <w:color w:val="000000" w:themeColor="text1"/>
          <w:sz w:val="16"/>
          <w:szCs w:val="16"/>
          <w:lang w:val="en-US"/>
        </w:rPr>
        <w:t xml:space="preserve">   </w:t>
      </w:r>
    </w:p>
  </w:footnote>
  <w:footnote w:id="23">
    <w:p w14:paraId="4108C795" w14:textId="71F1084F" w:rsidR="007F50DB" w:rsidRPr="00EE7DCC" w:rsidRDefault="007F50DB" w:rsidP="00105C19">
      <w:pPr>
        <w:pStyle w:val="NoSpacing"/>
        <w:rPr>
          <w:color w:val="000000" w:themeColor="text1"/>
          <w:sz w:val="20"/>
          <w:szCs w:val="20"/>
          <w:lang w:val="en-US"/>
        </w:rPr>
      </w:pPr>
      <w:r w:rsidRPr="007F50DB">
        <w:rPr>
          <w:rStyle w:val="FootnoteReference"/>
          <w:rFonts w:cs="Arial"/>
          <w:color w:val="000000" w:themeColor="text1"/>
          <w:sz w:val="16"/>
          <w:szCs w:val="16"/>
        </w:rPr>
        <w:footnoteRef/>
      </w:r>
      <w:r w:rsidRPr="007F50DB">
        <w:rPr>
          <w:rFonts w:ascii="Arial" w:hAnsi="Arial" w:cs="Arial"/>
          <w:color w:val="000000" w:themeColor="text1"/>
          <w:sz w:val="16"/>
          <w:szCs w:val="16"/>
        </w:rPr>
        <w:t xml:space="preserve"> </w:t>
      </w:r>
      <w:r w:rsidRPr="007F50DB">
        <w:rPr>
          <w:rFonts w:ascii="Arial" w:hAnsi="Arial" w:cs="Arial"/>
          <w:color w:val="000000" w:themeColor="text1"/>
          <w:sz w:val="16"/>
          <w:szCs w:val="16"/>
          <w:lang w:val="en-US"/>
        </w:rPr>
        <w:t>S</w:t>
      </w:r>
      <w:r w:rsidRPr="007F50DB">
        <w:rPr>
          <w:rFonts w:ascii="Arial" w:eastAsia="MS Gothic" w:hAnsi="Arial" w:cs="Arial"/>
          <w:sz w:val="16"/>
          <w:szCs w:val="16"/>
          <w:lang w:val="en-US" w:eastAsia="en-US"/>
        </w:rPr>
        <w:t xml:space="preserve">ee Our Watch (2017), Workplace Gender Equality Indicators (Key Progress Indicators), </w:t>
      </w:r>
      <w:hyperlink r:id="rId7" w:history="1">
        <w:r w:rsidRPr="007F50DB">
          <w:rPr>
            <w:rFonts w:ascii="Arial" w:eastAsia="MS Gothic" w:hAnsi="Arial" w:cs="Arial"/>
            <w:sz w:val="16"/>
            <w:szCs w:val="16"/>
            <w:lang w:eastAsia="en-US"/>
          </w:rPr>
          <w:t>https://workplace.ourwatch.org.au/resource/workplace-equality-and-respect-key-progress-indicators/</w:t>
        </w:r>
      </w:hyperlink>
      <w:r w:rsidRPr="00EE7DCC">
        <w:rPr>
          <w:color w:val="000000" w:themeColor="text1"/>
          <w:sz w:val="20"/>
          <w:szCs w:val="20"/>
          <w:lang w:val="en-US"/>
        </w:rPr>
        <w:t xml:space="preserve"> </w:t>
      </w:r>
    </w:p>
  </w:footnote>
  <w:footnote w:id="24">
    <w:p w14:paraId="78735EAD" w14:textId="77777777" w:rsidR="007F50DB" w:rsidRPr="007F50DB" w:rsidRDefault="007F50DB" w:rsidP="00105C19">
      <w:pPr>
        <w:pStyle w:val="NoSpacing"/>
        <w:rPr>
          <w:color w:val="000000" w:themeColor="text1"/>
          <w:sz w:val="16"/>
          <w:szCs w:val="16"/>
          <w:lang w:val="en-US"/>
        </w:rPr>
      </w:pPr>
      <w:r w:rsidRPr="007F50DB">
        <w:rPr>
          <w:rStyle w:val="FootnoteReference"/>
          <w:color w:val="000000" w:themeColor="text1"/>
          <w:sz w:val="16"/>
          <w:szCs w:val="16"/>
        </w:rPr>
        <w:footnoteRef/>
      </w:r>
      <w:r w:rsidRPr="007F50DB">
        <w:rPr>
          <w:color w:val="000000" w:themeColor="text1"/>
          <w:sz w:val="16"/>
          <w:szCs w:val="16"/>
        </w:rPr>
        <w:t xml:space="preserve"> </w:t>
      </w:r>
      <w:r w:rsidRPr="007F50DB">
        <w:rPr>
          <w:rFonts w:ascii="Arial" w:eastAsia="MS Gothic" w:hAnsi="Arial" w:cs="Arial"/>
          <w:sz w:val="16"/>
          <w:szCs w:val="16"/>
          <w:lang w:val="en-US" w:eastAsia="en-US"/>
        </w:rPr>
        <w:t xml:space="preserve">Our Watch, 2020. Quick Facts, </w:t>
      </w:r>
      <w:hyperlink r:id="rId8" w:history="1">
        <w:r w:rsidRPr="007F50DB">
          <w:rPr>
            <w:rFonts w:ascii="Arial" w:eastAsia="MS Gothic" w:hAnsi="Arial" w:cs="Arial"/>
            <w:sz w:val="16"/>
            <w:szCs w:val="16"/>
            <w:lang w:eastAsia="en-US"/>
          </w:rPr>
          <w:t>https://www.ourwatch.org.au/quick-facts/</w:t>
        </w:r>
      </w:hyperlink>
      <w:r w:rsidRPr="007F50DB">
        <w:rPr>
          <w:color w:val="000000" w:themeColor="text1"/>
          <w:sz w:val="16"/>
          <w:szCs w:val="16"/>
          <w:lang w:val="en-US"/>
        </w:rPr>
        <w:t xml:space="preserve"> </w:t>
      </w:r>
    </w:p>
  </w:footnote>
  <w:footnote w:id="25">
    <w:p w14:paraId="7D040E67" w14:textId="77777777" w:rsidR="007F50DB" w:rsidRPr="007F50DB" w:rsidRDefault="007F50DB" w:rsidP="00105C19">
      <w:pPr>
        <w:pStyle w:val="NoSpacing"/>
        <w:rPr>
          <w:color w:val="000000" w:themeColor="text1"/>
          <w:sz w:val="16"/>
          <w:szCs w:val="16"/>
          <w:lang w:eastAsia="en-GB"/>
        </w:rPr>
      </w:pPr>
      <w:r w:rsidRPr="007F50DB">
        <w:rPr>
          <w:rStyle w:val="FootnoteReference"/>
          <w:color w:val="000000" w:themeColor="text1"/>
          <w:sz w:val="16"/>
          <w:szCs w:val="16"/>
        </w:rPr>
        <w:footnoteRef/>
      </w:r>
      <w:r w:rsidRPr="007F50DB">
        <w:rPr>
          <w:color w:val="000000" w:themeColor="text1"/>
          <w:sz w:val="16"/>
          <w:szCs w:val="16"/>
        </w:rPr>
        <w:t xml:space="preserve"> </w:t>
      </w:r>
      <w:r w:rsidRPr="007F50DB">
        <w:rPr>
          <w:rFonts w:ascii="Arial" w:eastAsia="MS Gothic" w:hAnsi="Arial" w:cs="Arial"/>
          <w:sz w:val="16"/>
          <w:szCs w:val="16"/>
          <w:lang w:val="en-US" w:eastAsia="en-US"/>
        </w:rPr>
        <w:t>See Highlight Box 12 for further resources.</w:t>
      </w:r>
      <w:r w:rsidRPr="007F50DB">
        <w:rPr>
          <w:color w:val="000000" w:themeColor="text1"/>
          <w:sz w:val="16"/>
          <w:szCs w:val="16"/>
        </w:rPr>
        <w:t xml:space="preserve"> </w:t>
      </w:r>
      <w:r w:rsidRPr="007F50DB">
        <w:rPr>
          <w:i/>
          <w:iCs/>
          <w:color w:val="000000" w:themeColor="text1"/>
          <w:sz w:val="16"/>
          <w:szCs w:val="16"/>
          <w:lang w:eastAsia="en-GB"/>
        </w:rPr>
        <w:t xml:space="preserve"> </w:t>
      </w:r>
    </w:p>
  </w:footnote>
  <w:footnote w:id="26">
    <w:p w14:paraId="286423B6" w14:textId="77777777" w:rsidR="007F50DB" w:rsidRPr="00EE7DCC" w:rsidRDefault="007F50DB" w:rsidP="00105C19">
      <w:pPr>
        <w:pStyle w:val="NoSpacing"/>
        <w:rPr>
          <w:color w:val="000000" w:themeColor="text1"/>
          <w:sz w:val="20"/>
          <w:szCs w:val="20"/>
          <w:lang w:val="en-US"/>
        </w:rPr>
      </w:pPr>
      <w:r w:rsidRPr="007F50DB">
        <w:rPr>
          <w:rStyle w:val="FootnoteReference"/>
          <w:color w:val="000000" w:themeColor="text1"/>
          <w:sz w:val="16"/>
          <w:szCs w:val="16"/>
        </w:rPr>
        <w:footnoteRef/>
      </w:r>
      <w:r w:rsidRPr="007F50DB">
        <w:rPr>
          <w:color w:val="000000" w:themeColor="text1"/>
          <w:sz w:val="16"/>
          <w:szCs w:val="16"/>
        </w:rPr>
        <w:t xml:space="preserve"> </w:t>
      </w:r>
      <w:r w:rsidRPr="007F50DB">
        <w:rPr>
          <w:rFonts w:ascii="Arial" w:eastAsia="MS Gothic" w:hAnsi="Arial" w:cs="Arial"/>
          <w:sz w:val="16"/>
          <w:szCs w:val="16"/>
          <w:lang w:val="en-US" w:eastAsia="en-US"/>
        </w:rPr>
        <w:t xml:space="preserve">See Factsheet 1 in Our Watch, 2019, Practice guidance: Dealing with Backlash, </w:t>
      </w:r>
      <w:hyperlink r:id="rId9" w:history="1">
        <w:r w:rsidRPr="007F50DB">
          <w:rPr>
            <w:rFonts w:ascii="Arial" w:eastAsia="MS Gothic" w:hAnsi="Arial" w:cs="Arial"/>
            <w:sz w:val="16"/>
            <w:szCs w:val="16"/>
            <w:lang w:val="en-US" w:eastAsia="en-US"/>
          </w:rPr>
          <w:t>https://workplace.ourwatch.org.au/resource/practice-guidance-dealing-with-backlash</w:t>
        </w:r>
      </w:hyperlink>
      <w:r w:rsidRPr="00EE7DCC">
        <w:rPr>
          <w:color w:val="000000" w:themeColor="text1"/>
          <w:sz w:val="20"/>
          <w:szCs w:val="20"/>
        </w:rPr>
        <w:t xml:space="preserve"> </w:t>
      </w:r>
    </w:p>
  </w:footnote>
  <w:footnote w:id="27">
    <w:p w14:paraId="41B69CA5" w14:textId="597A902D" w:rsidR="007F50DB" w:rsidRPr="005A7F77" w:rsidRDefault="007F50DB" w:rsidP="00105C19">
      <w:pPr>
        <w:pStyle w:val="NoSpacing"/>
        <w:rPr>
          <w:rFonts w:ascii="Arial" w:eastAsia="MS Gothic" w:hAnsi="Arial" w:cs="Arial"/>
          <w:sz w:val="16"/>
          <w:szCs w:val="16"/>
          <w:lang w:val="en-US" w:eastAsia="en-US"/>
        </w:rPr>
      </w:pPr>
      <w:r w:rsidRPr="007F50DB">
        <w:rPr>
          <w:rStyle w:val="FootnoteReference"/>
          <w:rFonts w:cs="Arial"/>
          <w:color w:val="000000" w:themeColor="text1"/>
          <w:sz w:val="16"/>
          <w:szCs w:val="16"/>
        </w:rPr>
        <w:footnoteRef/>
      </w:r>
      <w:r w:rsidRPr="007F50DB">
        <w:rPr>
          <w:rStyle w:val="FootnoteReference"/>
          <w:rFonts w:cs="Arial"/>
          <w:sz w:val="16"/>
          <w:szCs w:val="16"/>
        </w:rPr>
        <w:t xml:space="preserve"> </w:t>
      </w:r>
      <w:r w:rsidRPr="007F50DB">
        <w:rPr>
          <w:rFonts w:ascii="Arial" w:eastAsia="MS Gothic" w:hAnsi="Arial" w:cs="Arial"/>
          <w:sz w:val="16"/>
          <w:szCs w:val="16"/>
          <w:lang w:val="en-US" w:eastAsia="en-US"/>
        </w:rPr>
        <w:t xml:space="preserve">See Our Watch. (2019). Practice guidance: Communications guide. Available at: </w:t>
      </w:r>
      <w:r w:rsidRPr="005A7F77">
        <w:rPr>
          <w:rFonts w:ascii="Arial" w:eastAsia="MS Gothic" w:hAnsi="Arial" w:cs="Arial"/>
          <w:sz w:val="16"/>
          <w:szCs w:val="16"/>
          <w:lang w:val="en-US" w:eastAsia="en-US"/>
        </w:rPr>
        <w:t>https://workplace.ourwatch.org.au/resource/communications-guide</w:t>
      </w:r>
      <w:r w:rsidRPr="007F50DB">
        <w:rPr>
          <w:rFonts w:ascii="Arial" w:eastAsia="MS Gothic" w:hAnsi="Arial" w:cs="Arial"/>
          <w:sz w:val="16"/>
          <w:szCs w:val="16"/>
          <w:lang w:val="en-US" w:eastAsia="en-US"/>
        </w:rPr>
        <w:t>/</w:t>
      </w:r>
    </w:p>
    <w:p w14:paraId="56CE48BE" w14:textId="77777777" w:rsidR="007F50DB" w:rsidRDefault="007F50DB" w:rsidP="00105C19">
      <w:pPr>
        <w:pStyle w:val="NoSpacing"/>
        <w:rPr>
          <w:rFonts w:ascii="Arial" w:eastAsia="MS Gothic" w:hAnsi="Arial" w:cs="Arial"/>
          <w:sz w:val="16"/>
          <w:szCs w:val="16"/>
          <w:lang w:val="en-US" w:eastAsia="en-US"/>
        </w:rPr>
      </w:pPr>
    </w:p>
    <w:p w14:paraId="2F457B6A" w14:textId="25B3D063" w:rsidR="007F50DB" w:rsidRPr="00EE7DCC" w:rsidRDefault="007F50DB" w:rsidP="00105C19">
      <w:pPr>
        <w:pStyle w:val="NoSpacing"/>
        <w:rPr>
          <w:i/>
          <w:iCs/>
          <w:color w:val="000000" w:themeColor="text1"/>
          <w:sz w:val="20"/>
          <w:szCs w:val="20"/>
          <w:lang w:val="en-US"/>
        </w:rPr>
      </w:pPr>
    </w:p>
  </w:footnote>
  <w:footnote w:id="28">
    <w:p w14:paraId="5F354B7C" w14:textId="77777777" w:rsidR="007F50DB" w:rsidRPr="007F50DB" w:rsidRDefault="007F50DB" w:rsidP="00105C19">
      <w:pPr>
        <w:pStyle w:val="NoSpacing"/>
        <w:rPr>
          <w:color w:val="000000" w:themeColor="text1"/>
          <w:sz w:val="16"/>
          <w:szCs w:val="16"/>
          <w:lang w:val="en-US"/>
        </w:rPr>
      </w:pPr>
      <w:r w:rsidRPr="007F50DB">
        <w:rPr>
          <w:rStyle w:val="FootnoteReference"/>
          <w:rFonts w:cs="Arial"/>
          <w:color w:val="000000" w:themeColor="text1"/>
          <w:sz w:val="16"/>
          <w:szCs w:val="16"/>
        </w:rPr>
        <w:footnoteRef/>
      </w:r>
      <w:r w:rsidRPr="007F50DB">
        <w:rPr>
          <w:rStyle w:val="FootnoteReference"/>
          <w:rFonts w:cs="Arial"/>
          <w:sz w:val="16"/>
          <w:szCs w:val="16"/>
        </w:rPr>
        <w:t xml:space="preserve"> </w:t>
      </w:r>
      <w:r w:rsidRPr="007F50DB">
        <w:rPr>
          <w:rFonts w:ascii="Arial" w:eastAsia="MS Gothic" w:hAnsi="Arial" w:cs="Arial"/>
          <w:sz w:val="16"/>
          <w:szCs w:val="16"/>
          <w:lang w:val="en-US" w:eastAsia="en-US"/>
        </w:rPr>
        <w:t>See Flood et al., (2021) for tips on how to practice self-care when responding to resistance and backlash.</w:t>
      </w:r>
      <w:r w:rsidRPr="007F50DB">
        <w:rPr>
          <w:color w:val="000000" w:themeColor="text1"/>
          <w:sz w:val="16"/>
          <w:szCs w:val="16"/>
          <w:lang w:val="en-US"/>
        </w:rPr>
        <w:t xml:space="preserve"> </w:t>
      </w:r>
    </w:p>
  </w:footnote>
  <w:footnote w:id="29">
    <w:p w14:paraId="6E34839B" w14:textId="77777777" w:rsidR="007F50DB" w:rsidRPr="005A7F77" w:rsidRDefault="007F50DB" w:rsidP="00360682">
      <w:pPr>
        <w:pStyle w:val="FootnoteText"/>
        <w:rPr>
          <w:color w:val="000000" w:themeColor="text1"/>
          <w:lang w:val="en-US"/>
        </w:rPr>
      </w:pPr>
      <w:r w:rsidRPr="007F50DB">
        <w:rPr>
          <w:rStyle w:val="FootnoteReference"/>
          <w:rFonts w:eastAsia="SimSun" w:cs="Tahoma"/>
          <w:color w:val="000000" w:themeColor="text1"/>
          <w:lang w:eastAsia="ja-JP"/>
        </w:rPr>
        <w:footnoteRef/>
      </w:r>
      <w:r w:rsidRPr="007F50DB">
        <w:rPr>
          <w:rStyle w:val="FootnoteReference"/>
          <w:rFonts w:eastAsia="SimSun" w:cs="Tahoma"/>
          <w:lang w:eastAsia="ja-JP"/>
        </w:rPr>
        <w:t xml:space="preserve"> </w:t>
      </w:r>
      <w:r w:rsidRPr="007F50DB">
        <w:rPr>
          <w:lang w:val="en-US"/>
        </w:rPr>
        <w:t>Stakeholder 1, 2021.</w:t>
      </w:r>
    </w:p>
  </w:footnote>
  <w:footnote w:id="30">
    <w:p w14:paraId="2884025C" w14:textId="77777777" w:rsidR="007F50DB" w:rsidRPr="009E68A2" w:rsidRDefault="007F50DB" w:rsidP="007F50DB">
      <w:pPr>
        <w:pStyle w:val="NoSpacing"/>
        <w:rPr>
          <w:color w:val="000000" w:themeColor="text1"/>
          <w:lang w:val="en-US"/>
        </w:rPr>
      </w:pPr>
      <w:r w:rsidRPr="007F50DB">
        <w:rPr>
          <w:rStyle w:val="FootnoteReference"/>
          <w:color w:val="000000" w:themeColor="text1"/>
          <w:sz w:val="16"/>
          <w:szCs w:val="16"/>
        </w:rPr>
        <w:footnoteRef/>
      </w:r>
      <w:r w:rsidRPr="007F50DB">
        <w:rPr>
          <w:rStyle w:val="FootnoteReference"/>
        </w:rPr>
        <w:t xml:space="preserve"> </w:t>
      </w:r>
      <w:r w:rsidRPr="007F50DB">
        <w:rPr>
          <w:rFonts w:ascii="Arial" w:eastAsia="MS Gothic" w:hAnsi="Arial" w:cs="Arial"/>
          <w:sz w:val="16"/>
          <w:szCs w:val="16"/>
          <w:lang w:val="en-US" w:eastAsia="en-US"/>
        </w:rPr>
        <w:t>Stakeholder 1, 2021.</w:t>
      </w:r>
    </w:p>
  </w:footnote>
  <w:footnote w:id="31">
    <w:p w14:paraId="258AF24D" w14:textId="77777777" w:rsidR="007F50DB" w:rsidRPr="007F50DB" w:rsidRDefault="007F50DB">
      <w:pPr>
        <w:pStyle w:val="NoSpacing"/>
        <w:rPr>
          <w:rStyle w:val="FootnoteReference"/>
          <w:sz w:val="16"/>
          <w:szCs w:val="16"/>
        </w:rPr>
      </w:pPr>
      <w:r w:rsidRPr="007F50DB">
        <w:rPr>
          <w:rStyle w:val="FootnoteReference"/>
          <w:color w:val="000000" w:themeColor="text1"/>
          <w:sz w:val="16"/>
          <w:szCs w:val="16"/>
        </w:rPr>
        <w:footnoteRef/>
      </w:r>
      <w:r w:rsidRPr="007F50DB">
        <w:rPr>
          <w:rStyle w:val="FootnoteReference"/>
          <w:sz w:val="16"/>
          <w:szCs w:val="16"/>
        </w:rPr>
        <w:t xml:space="preserve"> </w:t>
      </w:r>
      <w:r w:rsidRPr="007F50DB">
        <w:rPr>
          <w:rFonts w:ascii="Arial" w:eastAsia="MS Gothic" w:hAnsi="Arial" w:cs="Arial"/>
          <w:sz w:val="16"/>
          <w:szCs w:val="16"/>
          <w:lang w:val="en-US" w:eastAsia="en-US"/>
        </w:rPr>
        <w:t>Stakeholder 3, 2021.</w:t>
      </w:r>
    </w:p>
  </w:footnote>
  <w:footnote w:id="32">
    <w:p w14:paraId="5E7E34DC" w14:textId="77777777" w:rsidR="007F50DB" w:rsidRPr="00EE7DCC" w:rsidRDefault="007F50DB">
      <w:pPr>
        <w:pStyle w:val="NoSpacing"/>
        <w:rPr>
          <w:color w:val="000000" w:themeColor="text1"/>
          <w:sz w:val="20"/>
          <w:szCs w:val="20"/>
          <w:lang w:val="en-US"/>
        </w:rPr>
      </w:pPr>
      <w:r w:rsidRPr="007F50DB">
        <w:rPr>
          <w:rStyle w:val="FootnoteReference"/>
          <w:color w:val="000000" w:themeColor="text1"/>
          <w:sz w:val="16"/>
          <w:szCs w:val="16"/>
        </w:rPr>
        <w:footnoteRef/>
      </w:r>
      <w:r w:rsidRPr="007F50DB">
        <w:rPr>
          <w:rStyle w:val="FootnoteReference"/>
          <w:sz w:val="16"/>
          <w:szCs w:val="16"/>
        </w:rPr>
        <w:t xml:space="preserve"> </w:t>
      </w:r>
      <w:r w:rsidRPr="007F50DB">
        <w:rPr>
          <w:rFonts w:ascii="Arial" w:eastAsia="MS Gothic" w:hAnsi="Arial" w:cs="Arial"/>
          <w:sz w:val="16"/>
          <w:szCs w:val="16"/>
          <w:lang w:val="en-US" w:eastAsia="en-US"/>
        </w:rPr>
        <w:t>Stakeholder 3, 2021.</w:t>
      </w:r>
    </w:p>
  </w:footnote>
  <w:footnote w:id="33">
    <w:p w14:paraId="2648895C" w14:textId="77777777" w:rsidR="007F50DB" w:rsidRPr="007F50DB" w:rsidRDefault="007F50DB" w:rsidP="009607CC">
      <w:pPr>
        <w:pStyle w:val="NoSpacing"/>
        <w:rPr>
          <w:color w:val="000000" w:themeColor="text1"/>
          <w:sz w:val="16"/>
          <w:szCs w:val="16"/>
          <w:lang w:val="en-US"/>
        </w:rPr>
      </w:pPr>
      <w:r w:rsidRPr="007F50DB">
        <w:rPr>
          <w:rStyle w:val="FootnoteReference"/>
          <w:color w:val="000000" w:themeColor="text1"/>
          <w:sz w:val="16"/>
          <w:szCs w:val="16"/>
        </w:rPr>
        <w:footnoteRef/>
      </w:r>
      <w:r w:rsidRPr="007F50DB">
        <w:rPr>
          <w:color w:val="000000" w:themeColor="text1"/>
          <w:sz w:val="16"/>
          <w:szCs w:val="16"/>
        </w:rPr>
        <w:t xml:space="preserve"> </w:t>
      </w:r>
      <w:r w:rsidRPr="007F50DB">
        <w:rPr>
          <w:rFonts w:ascii="Arial" w:eastAsia="MS Gothic" w:hAnsi="Arial" w:cs="Arial"/>
          <w:sz w:val="16"/>
          <w:szCs w:val="16"/>
          <w:lang w:val="en-US" w:eastAsia="en-US"/>
        </w:rPr>
        <w:t xml:space="preserve">For information on how to do something, visit </w:t>
      </w:r>
      <w:hyperlink r:id="rId10" w:history="1">
        <w:r w:rsidRPr="007F50DB">
          <w:rPr>
            <w:rFonts w:ascii="Arial" w:eastAsia="MS Gothic" w:hAnsi="Arial" w:cs="Arial"/>
            <w:sz w:val="16"/>
            <w:szCs w:val="16"/>
            <w:lang w:eastAsia="en-US"/>
          </w:rPr>
          <w:t>https://www.doingnothingdoesharm.org.au/how-to-do-something/</w:t>
        </w:r>
      </w:hyperlink>
      <w:r w:rsidRPr="007F50DB">
        <w:rPr>
          <w:rFonts w:eastAsia="MS Gothic" w:cs="Arial"/>
          <w:sz w:val="16"/>
          <w:szCs w:val="16"/>
          <w:lang w:val="en-US" w:eastAsia="en-US"/>
        </w:rPr>
        <w:t xml:space="preserve"> </w:t>
      </w:r>
    </w:p>
  </w:footnote>
  <w:footnote w:id="34">
    <w:p w14:paraId="784D2531" w14:textId="77777777" w:rsidR="007F50DB" w:rsidRPr="00EE7DCC" w:rsidRDefault="007F50DB" w:rsidP="009607CC">
      <w:pPr>
        <w:pStyle w:val="FootnoteText"/>
        <w:rPr>
          <w:color w:val="000000" w:themeColor="text1"/>
          <w:lang w:val="en-US"/>
        </w:rPr>
      </w:pPr>
      <w:r w:rsidRPr="00EE7DCC">
        <w:rPr>
          <w:rStyle w:val="FootnoteReference"/>
          <w:color w:val="000000" w:themeColor="text1"/>
        </w:rPr>
        <w:footnoteRef/>
      </w:r>
      <w:r w:rsidRPr="00EE7DCC">
        <w:rPr>
          <w:color w:val="000000" w:themeColor="text1"/>
        </w:rPr>
        <w:t xml:space="preserve"> </w:t>
      </w:r>
      <w:r w:rsidRPr="00EE7DCC">
        <w:rPr>
          <w:color w:val="000000" w:themeColor="text1"/>
          <w:lang w:val="en-US"/>
        </w:rPr>
        <w:t>Stakeholder 1, 2021.</w:t>
      </w:r>
    </w:p>
  </w:footnote>
  <w:footnote w:id="35">
    <w:p w14:paraId="214393E7" w14:textId="77777777" w:rsidR="007F50DB" w:rsidRPr="00EE7DCC" w:rsidRDefault="007F50DB" w:rsidP="009607CC">
      <w:pPr>
        <w:pStyle w:val="FootnoteText"/>
        <w:rPr>
          <w:color w:val="000000" w:themeColor="text1"/>
          <w:lang w:val="en-US"/>
        </w:rPr>
      </w:pPr>
      <w:r w:rsidRPr="00EE7DCC">
        <w:rPr>
          <w:rStyle w:val="FootnoteReference"/>
          <w:color w:val="000000" w:themeColor="text1"/>
        </w:rPr>
        <w:footnoteRef/>
      </w:r>
      <w:r w:rsidRPr="00EE7DCC">
        <w:rPr>
          <w:color w:val="000000" w:themeColor="text1"/>
        </w:rPr>
        <w:t xml:space="preserve"> </w:t>
      </w:r>
      <w:r w:rsidRPr="00EE7DCC">
        <w:rPr>
          <w:color w:val="000000" w:themeColor="text1"/>
          <w:lang w:val="en-US"/>
        </w:rPr>
        <w:t>Stakeholder 2, 2021.</w:t>
      </w:r>
    </w:p>
  </w:footnote>
  <w:footnote w:id="36">
    <w:p w14:paraId="22B4B4BF" w14:textId="77777777" w:rsidR="007F50DB" w:rsidRPr="00EE7DCC" w:rsidRDefault="007F50DB" w:rsidP="00B270AE">
      <w:pPr>
        <w:pStyle w:val="FootnoteText"/>
        <w:rPr>
          <w:color w:val="000000" w:themeColor="text1"/>
          <w:lang w:val="en-US"/>
        </w:rPr>
      </w:pPr>
      <w:r w:rsidRPr="00EE7DCC">
        <w:rPr>
          <w:rStyle w:val="FootnoteReference"/>
          <w:color w:val="000000" w:themeColor="text1"/>
        </w:rPr>
        <w:footnoteRef/>
      </w:r>
      <w:r w:rsidRPr="00EE7DCC">
        <w:rPr>
          <w:color w:val="000000" w:themeColor="text1"/>
        </w:rPr>
        <w:t xml:space="preserve"> </w:t>
      </w:r>
      <w:r w:rsidRPr="007F50DB">
        <w:rPr>
          <w:lang w:val="en-US"/>
        </w:rPr>
        <w:t>Stakeholder 2, 2021.</w:t>
      </w:r>
      <w:r w:rsidRPr="000F1F81">
        <w:rPr>
          <w:color w:val="000000" w:themeColor="text1"/>
          <w:lang w:val="en-US"/>
        </w:rPr>
        <w:t xml:space="preserve"> </w:t>
      </w:r>
    </w:p>
  </w:footnote>
  <w:footnote w:id="37">
    <w:p w14:paraId="0986C986" w14:textId="26FCB95C" w:rsidR="007F50DB" w:rsidRPr="00EE7DCC" w:rsidRDefault="007F50DB" w:rsidP="007F50DB">
      <w:pPr>
        <w:pStyle w:val="FootnoteText"/>
        <w:rPr>
          <w:color w:val="000000" w:themeColor="text1"/>
          <w:sz w:val="20"/>
          <w:szCs w:val="20"/>
          <w:lang w:val="en-US"/>
        </w:rPr>
      </w:pPr>
      <w:r w:rsidRPr="007F50DB">
        <w:rPr>
          <w:rStyle w:val="FootnoteReference"/>
          <w:color w:val="000000" w:themeColor="text1"/>
        </w:rPr>
        <w:footnoteRef/>
      </w:r>
      <w:r w:rsidRPr="007F50DB">
        <w:rPr>
          <w:rStyle w:val="FootnoteReference"/>
        </w:rPr>
        <w:t xml:space="preserve"> </w:t>
      </w:r>
      <w:r w:rsidR="00863974" w:rsidRPr="00863974">
        <w:t xml:space="preserve">Our Watch thanks Belinda O'Connor and Maria Delaney for sharing their expertise to contribute to this point.  </w:t>
      </w:r>
      <w:r w:rsidRPr="00EE7DCC">
        <w:rPr>
          <w:color w:val="000000" w:themeColor="text1"/>
          <w:sz w:val="20"/>
          <w:szCs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676261"/>
      <w:docPartObj>
        <w:docPartGallery w:val="Page Numbers (Top of Page)"/>
        <w:docPartUnique/>
      </w:docPartObj>
    </w:sdtPr>
    <w:sdtEndPr>
      <w:rPr>
        <w:rStyle w:val="PageNumber"/>
      </w:rPr>
    </w:sdtEndPr>
    <w:sdtContent>
      <w:p w14:paraId="00CD7EB8" w14:textId="0401EB66" w:rsidR="007F50DB" w:rsidRDefault="007F50DB" w:rsidP="000466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1315AE" w14:textId="77777777" w:rsidR="007F50DB" w:rsidRDefault="007F50DB" w:rsidP="001D4E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5075" w14:textId="77777777" w:rsidR="00317558" w:rsidRDefault="00317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B239" w14:textId="53F9C7D1" w:rsidR="007F50DB" w:rsidRDefault="007F50DB">
    <w:pPr>
      <w:pStyle w:val="Header"/>
    </w:pPr>
  </w:p>
  <w:p w14:paraId="3E22A99E" w14:textId="51E2C329" w:rsidR="007F50DB" w:rsidRDefault="00C4511B">
    <w:pPr>
      <w:pStyle w:val="Header"/>
    </w:pPr>
    <w:r>
      <w:rPr>
        <w:noProof/>
      </w:rPr>
      <w:drawing>
        <wp:anchor distT="0" distB="0" distL="114300" distR="114300" simplePos="0" relativeHeight="251664384" behindDoc="0" locked="0" layoutInCell="1" allowOverlap="1" wp14:anchorId="73A3D1D8" wp14:editId="02535D0D">
          <wp:simplePos x="0" y="0"/>
          <wp:positionH relativeFrom="margin">
            <wp:align>right</wp:align>
          </wp:positionH>
          <wp:positionV relativeFrom="paragraph">
            <wp:posOffset>3175</wp:posOffset>
          </wp:positionV>
          <wp:extent cx="1790700" cy="1352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038">
      <w:rPr>
        <w:noProof/>
      </w:rPr>
      <w:t>`</w:t>
    </w:r>
    <w:r w:rsidR="007F50DB">
      <w:rPr>
        <w:noProof/>
      </w:rPr>
      <w:drawing>
        <wp:inline distT="0" distB="0" distL="0" distR="0" wp14:anchorId="5A37E7A4" wp14:editId="2DBE695A">
          <wp:extent cx="1524000" cy="13589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4000" cy="1358900"/>
                  </a:xfrm>
                  <a:prstGeom prst="rect">
                    <a:avLst/>
                  </a:prstGeom>
                </pic:spPr>
              </pic:pic>
            </a:graphicData>
          </a:graphic>
        </wp:inline>
      </w:drawing>
    </w:r>
    <w:r w:rsidR="007F50DB">
      <w:t xml:space="preserve"> </w:t>
    </w:r>
    <w:r w:rsidR="007F50DB">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AF17" w14:textId="36044F2C" w:rsidR="007F79A5" w:rsidRDefault="007F79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6ED7" w14:textId="1A3409F6" w:rsidR="007F50DB" w:rsidRDefault="007F50DB" w:rsidP="001D4E8F">
    <w:pPr>
      <w:pStyle w:val="Header"/>
      <w:tabs>
        <w:tab w:val="left" w:pos="8480"/>
        <w:tab w:val="right" w:pos="9838"/>
      </w:tabs>
      <w:ind w:right="360"/>
    </w:pPr>
    <w:r>
      <w:tab/>
    </w:r>
    <w:r>
      <w:tab/>
    </w:r>
    <w:r>
      <w:tab/>
    </w:r>
    <w:r>
      <w:tab/>
    </w:r>
    <w:r>
      <w:rPr>
        <w:noProof/>
      </w:rPr>
      <mc:AlternateContent>
        <mc:Choice Requires="wps">
          <w:drawing>
            <wp:anchor distT="0" distB="0" distL="114300" distR="114300" simplePos="0" relativeHeight="251663360" behindDoc="0" locked="0" layoutInCell="1" allowOverlap="1" wp14:anchorId="2D60468C" wp14:editId="51048C47">
              <wp:simplePos x="0" y="0"/>
              <wp:positionH relativeFrom="column">
                <wp:posOffset>6101715</wp:posOffset>
              </wp:positionH>
              <wp:positionV relativeFrom="paragraph">
                <wp:posOffset>-90805</wp:posOffset>
              </wp:positionV>
              <wp:extent cx="468000" cy="468000"/>
              <wp:effectExtent l="0" t="0" r="1905" b="1905"/>
              <wp:wrapNone/>
              <wp:docPr id="122" name="Oval 122"/>
              <wp:cNvGraphicFramePr/>
              <a:graphic xmlns:a="http://schemas.openxmlformats.org/drawingml/2006/main">
                <a:graphicData uri="http://schemas.microsoft.com/office/word/2010/wordprocessingShape">
                  <wps:wsp>
                    <wps:cNvSpPr/>
                    <wps:spPr>
                      <a:xfrm>
                        <a:off x="0" y="0"/>
                        <a:ext cx="468000" cy="468000"/>
                      </a:xfrm>
                      <a:prstGeom prst="ellipse">
                        <a:avLst/>
                      </a:prstGeom>
                      <a:solidFill>
                        <a:srgbClr val="E572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5F9C8" w14:textId="77777777" w:rsidR="007F50DB" w:rsidRPr="00E455D0" w:rsidRDefault="007F50DB" w:rsidP="001E27FA">
                          <w:pPr>
                            <w:jc w:val="center"/>
                            <w:rPr>
                              <w:rFonts w:asciiTheme="majorHAnsi" w:hAnsiTheme="majorHAnsi" w:cstheme="majorHAnsi"/>
                              <w:b/>
                              <w:bCs/>
                              <w:sz w:val="32"/>
                              <w:szCs w:val="32"/>
                            </w:rPr>
                          </w:pPr>
                          <w:r w:rsidRPr="00E455D0">
                            <w:rPr>
                              <w:rFonts w:asciiTheme="majorHAnsi" w:hAnsiTheme="majorHAnsi" w:cstheme="majorHAnsi"/>
                              <w:b/>
                              <w:bCs/>
                              <w:sz w:val="32"/>
                              <w:szCs w:val="32"/>
                              <w:lang w:val="en-GB"/>
                            </w:rPr>
                            <w:fldChar w:fldCharType="begin"/>
                          </w:r>
                          <w:r w:rsidRPr="00E455D0">
                            <w:rPr>
                              <w:rFonts w:asciiTheme="majorHAnsi" w:hAnsiTheme="majorHAnsi" w:cstheme="majorHAnsi"/>
                              <w:b/>
                              <w:bCs/>
                              <w:sz w:val="32"/>
                              <w:szCs w:val="32"/>
                              <w:lang w:val="en-GB"/>
                            </w:rPr>
                            <w:instrText xml:space="preserve"> PAGE </w:instrText>
                          </w:r>
                          <w:r w:rsidRPr="00E455D0">
                            <w:rPr>
                              <w:rFonts w:asciiTheme="majorHAnsi" w:hAnsiTheme="majorHAnsi" w:cstheme="majorHAnsi"/>
                              <w:b/>
                              <w:bCs/>
                              <w:sz w:val="32"/>
                              <w:szCs w:val="32"/>
                              <w:lang w:val="en-GB"/>
                            </w:rPr>
                            <w:fldChar w:fldCharType="separate"/>
                          </w:r>
                          <w:r w:rsidRPr="00E455D0">
                            <w:rPr>
                              <w:rFonts w:asciiTheme="majorHAnsi" w:hAnsiTheme="majorHAnsi" w:cstheme="majorHAnsi"/>
                              <w:b/>
                              <w:bCs/>
                              <w:noProof/>
                              <w:sz w:val="32"/>
                              <w:szCs w:val="32"/>
                              <w:lang w:val="en-GB"/>
                            </w:rPr>
                            <w:t>2</w:t>
                          </w:r>
                          <w:r w:rsidRPr="00E455D0">
                            <w:rPr>
                              <w:rFonts w:asciiTheme="majorHAnsi" w:hAnsiTheme="majorHAnsi" w:cstheme="majorHAnsi"/>
                              <w:b/>
                              <w:bCs/>
                              <w:sz w:val="32"/>
                              <w:szCs w:val="32"/>
                              <w:lang w:val="en-GB"/>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0468C" id="Oval 122" o:spid="_x0000_s1041" style="position:absolute;margin-left:480.45pt;margin-top:-7.15pt;width:36.85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" fillcolor="#e57200" stroked="f" strokeweight="2pt">
              <v:textbox inset="0,0,0,0">
                <w:txbxContent>
                  <w:p w14:paraId="4665F9C8" w14:textId="77777777" w:rsidR="007F50DB" w:rsidRPr="00E455D0" w:rsidRDefault="007F50DB" w:rsidP="001E27FA">
                    <w:pPr>
                      <w:jc w:val="center"/>
                      <w:rPr>
                        <w:rFonts w:asciiTheme="majorHAnsi" w:hAnsiTheme="majorHAnsi" w:cstheme="majorHAnsi"/>
                        <w:b/>
                        <w:bCs/>
                        <w:sz w:val="32"/>
                        <w:szCs w:val="32"/>
                      </w:rPr>
                    </w:pPr>
                    <w:r w:rsidRPr="00E455D0">
                      <w:rPr>
                        <w:rFonts w:asciiTheme="majorHAnsi" w:hAnsiTheme="majorHAnsi" w:cstheme="majorHAnsi"/>
                        <w:b/>
                        <w:bCs/>
                        <w:sz w:val="32"/>
                        <w:szCs w:val="32"/>
                        <w:lang w:val="en-GB"/>
                      </w:rPr>
                      <w:fldChar w:fldCharType="begin"/>
                    </w:r>
                    <w:r w:rsidRPr="00E455D0">
                      <w:rPr>
                        <w:rFonts w:asciiTheme="majorHAnsi" w:hAnsiTheme="majorHAnsi" w:cstheme="majorHAnsi"/>
                        <w:b/>
                        <w:bCs/>
                        <w:sz w:val="32"/>
                        <w:szCs w:val="32"/>
                        <w:lang w:val="en-GB"/>
                      </w:rPr>
                      <w:instrText xml:space="preserve"> PAGE </w:instrText>
                    </w:r>
                    <w:r w:rsidRPr="00E455D0">
                      <w:rPr>
                        <w:rFonts w:asciiTheme="majorHAnsi" w:hAnsiTheme="majorHAnsi" w:cstheme="majorHAnsi"/>
                        <w:b/>
                        <w:bCs/>
                        <w:sz w:val="32"/>
                        <w:szCs w:val="32"/>
                        <w:lang w:val="en-GB"/>
                      </w:rPr>
                      <w:fldChar w:fldCharType="separate"/>
                    </w:r>
                    <w:r w:rsidRPr="00E455D0">
                      <w:rPr>
                        <w:rFonts w:asciiTheme="majorHAnsi" w:hAnsiTheme="majorHAnsi" w:cstheme="majorHAnsi"/>
                        <w:b/>
                        <w:bCs/>
                        <w:noProof/>
                        <w:sz w:val="32"/>
                        <w:szCs w:val="32"/>
                        <w:lang w:val="en-GB"/>
                      </w:rPr>
                      <w:t>2</w:t>
                    </w:r>
                    <w:r w:rsidRPr="00E455D0">
                      <w:rPr>
                        <w:rFonts w:asciiTheme="majorHAnsi" w:hAnsiTheme="majorHAnsi" w:cstheme="majorHAnsi"/>
                        <w:b/>
                        <w:bCs/>
                        <w:sz w:val="32"/>
                        <w:szCs w:val="32"/>
                        <w:lang w:val="en-GB"/>
                      </w:rPr>
                      <w:fldChar w:fldCharType="end"/>
                    </w:r>
                  </w:p>
                </w:txbxContent>
              </v:textbox>
            </v:oval>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F345" w14:textId="0072250F" w:rsidR="007F79A5" w:rsidRDefault="007F7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1EB"/>
    <w:multiLevelType w:val="hybridMultilevel"/>
    <w:tmpl w:val="F48A001E"/>
    <w:lvl w:ilvl="0" w:tplc="F60275D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C6174"/>
    <w:multiLevelType w:val="hybridMultilevel"/>
    <w:tmpl w:val="54B4EFCE"/>
    <w:lvl w:ilvl="0" w:tplc="0C090013">
      <w:start w:val="1"/>
      <w:numFmt w:val="upperRoman"/>
      <w:lvlText w:val="%1."/>
      <w:lvlJc w:val="righ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9186A"/>
    <w:multiLevelType w:val="hybridMultilevel"/>
    <w:tmpl w:val="77069068"/>
    <w:lvl w:ilvl="0" w:tplc="75301892">
      <w:start w:val="1"/>
      <w:numFmt w:val="bullet"/>
      <w:pStyle w:val="BulletList"/>
      <w:lvlText w:val=""/>
      <w:lvlJc w:val="left"/>
      <w:pPr>
        <w:ind w:left="643"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D5A5A53"/>
    <w:multiLevelType w:val="hybridMultilevel"/>
    <w:tmpl w:val="68E20EFC"/>
    <w:lvl w:ilvl="0" w:tplc="35B24CFE">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42DAB"/>
    <w:multiLevelType w:val="hybridMultilevel"/>
    <w:tmpl w:val="513AA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13320"/>
    <w:multiLevelType w:val="hybridMultilevel"/>
    <w:tmpl w:val="3FC005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F5E4E"/>
    <w:multiLevelType w:val="hybridMultilevel"/>
    <w:tmpl w:val="46D2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652FE"/>
    <w:multiLevelType w:val="hybridMultilevel"/>
    <w:tmpl w:val="68E20EFC"/>
    <w:lvl w:ilvl="0" w:tplc="35B24CFE">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D0954"/>
    <w:multiLevelType w:val="hybridMultilevel"/>
    <w:tmpl w:val="68E20EFC"/>
    <w:lvl w:ilvl="0" w:tplc="35B24CFE">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A61FF"/>
    <w:multiLevelType w:val="hybridMultilevel"/>
    <w:tmpl w:val="9418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B3070"/>
    <w:multiLevelType w:val="hybridMultilevel"/>
    <w:tmpl w:val="BBAC5EEC"/>
    <w:lvl w:ilvl="0" w:tplc="56D464C2">
      <w:start w:val="1"/>
      <w:numFmt w:val="bullet"/>
      <w:pStyle w:val="Boxbullets"/>
      <w:lvlText w:val=""/>
      <w:lvlJc w:val="left"/>
      <w:pPr>
        <w:ind w:left="720" w:hanging="360"/>
      </w:pPr>
      <w:rPr>
        <w:rFonts w:ascii="Symbol" w:hAnsi="Symbol" w:hint="default"/>
      </w:rPr>
    </w:lvl>
    <w:lvl w:ilvl="1" w:tplc="D72660DC">
      <w:start w:val="1"/>
      <w:numFmt w:val="bullet"/>
      <w:lvlText w:val="•"/>
      <w:lvlJc w:val="left"/>
      <w:pPr>
        <w:tabs>
          <w:tab w:val="num" w:pos="1440"/>
        </w:tabs>
        <w:ind w:left="1440" w:hanging="360"/>
      </w:pPr>
      <w:rPr>
        <w:rFonts w:ascii="Times New Roman" w:hAnsi="Times New Roman" w:hint="default"/>
      </w:rPr>
    </w:lvl>
    <w:lvl w:ilvl="2" w:tplc="636A78E6" w:tentative="1">
      <w:start w:val="1"/>
      <w:numFmt w:val="bullet"/>
      <w:lvlText w:val="•"/>
      <w:lvlJc w:val="left"/>
      <w:pPr>
        <w:tabs>
          <w:tab w:val="num" w:pos="2160"/>
        </w:tabs>
        <w:ind w:left="2160" w:hanging="360"/>
      </w:pPr>
      <w:rPr>
        <w:rFonts w:ascii="Times New Roman" w:hAnsi="Times New Roman" w:hint="default"/>
      </w:rPr>
    </w:lvl>
    <w:lvl w:ilvl="3" w:tplc="9B3A8890" w:tentative="1">
      <w:start w:val="1"/>
      <w:numFmt w:val="bullet"/>
      <w:lvlText w:val="•"/>
      <w:lvlJc w:val="left"/>
      <w:pPr>
        <w:tabs>
          <w:tab w:val="num" w:pos="2880"/>
        </w:tabs>
        <w:ind w:left="2880" w:hanging="360"/>
      </w:pPr>
      <w:rPr>
        <w:rFonts w:ascii="Times New Roman" w:hAnsi="Times New Roman" w:hint="default"/>
      </w:rPr>
    </w:lvl>
    <w:lvl w:ilvl="4" w:tplc="66CAAD00" w:tentative="1">
      <w:start w:val="1"/>
      <w:numFmt w:val="bullet"/>
      <w:lvlText w:val="•"/>
      <w:lvlJc w:val="left"/>
      <w:pPr>
        <w:tabs>
          <w:tab w:val="num" w:pos="3600"/>
        </w:tabs>
        <w:ind w:left="3600" w:hanging="360"/>
      </w:pPr>
      <w:rPr>
        <w:rFonts w:ascii="Times New Roman" w:hAnsi="Times New Roman" w:hint="default"/>
      </w:rPr>
    </w:lvl>
    <w:lvl w:ilvl="5" w:tplc="6E52D390" w:tentative="1">
      <w:start w:val="1"/>
      <w:numFmt w:val="bullet"/>
      <w:lvlText w:val="•"/>
      <w:lvlJc w:val="left"/>
      <w:pPr>
        <w:tabs>
          <w:tab w:val="num" w:pos="4320"/>
        </w:tabs>
        <w:ind w:left="4320" w:hanging="360"/>
      </w:pPr>
      <w:rPr>
        <w:rFonts w:ascii="Times New Roman" w:hAnsi="Times New Roman" w:hint="default"/>
      </w:rPr>
    </w:lvl>
    <w:lvl w:ilvl="6" w:tplc="D708F876" w:tentative="1">
      <w:start w:val="1"/>
      <w:numFmt w:val="bullet"/>
      <w:lvlText w:val="•"/>
      <w:lvlJc w:val="left"/>
      <w:pPr>
        <w:tabs>
          <w:tab w:val="num" w:pos="5040"/>
        </w:tabs>
        <w:ind w:left="5040" w:hanging="360"/>
      </w:pPr>
      <w:rPr>
        <w:rFonts w:ascii="Times New Roman" w:hAnsi="Times New Roman" w:hint="default"/>
      </w:rPr>
    </w:lvl>
    <w:lvl w:ilvl="7" w:tplc="478AF256" w:tentative="1">
      <w:start w:val="1"/>
      <w:numFmt w:val="bullet"/>
      <w:lvlText w:val="•"/>
      <w:lvlJc w:val="left"/>
      <w:pPr>
        <w:tabs>
          <w:tab w:val="num" w:pos="5760"/>
        </w:tabs>
        <w:ind w:left="5760" w:hanging="360"/>
      </w:pPr>
      <w:rPr>
        <w:rFonts w:ascii="Times New Roman" w:hAnsi="Times New Roman" w:hint="default"/>
      </w:rPr>
    </w:lvl>
    <w:lvl w:ilvl="8" w:tplc="4E66F0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8939C2"/>
    <w:multiLevelType w:val="multilevel"/>
    <w:tmpl w:val="53A6690C"/>
    <w:lvl w:ilvl="0">
      <w:start w:val="1"/>
      <w:numFmt w:val="decimal"/>
      <w:lvlText w:val="%1."/>
      <w:lvlJc w:val="left"/>
      <w:pPr>
        <w:ind w:left="360" w:hanging="360"/>
      </w:pPr>
      <w:rPr>
        <w:color w:val="E57200"/>
        <w:sz w:val="60"/>
        <w:szCs w:val="28"/>
      </w:r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1179F7"/>
    <w:multiLevelType w:val="hybridMultilevel"/>
    <w:tmpl w:val="68E20EFC"/>
    <w:lvl w:ilvl="0" w:tplc="35B24CFE">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676F82"/>
    <w:multiLevelType w:val="hybridMultilevel"/>
    <w:tmpl w:val="F572A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C1070A"/>
    <w:multiLevelType w:val="hybridMultilevel"/>
    <w:tmpl w:val="91CCBD30"/>
    <w:lvl w:ilvl="0" w:tplc="F60275DE">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C3951"/>
    <w:multiLevelType w:val="hybridMultilevel"/>
    <w:tmpl w:val="3982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9191B"/>
    <w:multiLevelType w:val="hybridMultilevel"/>
    <w:tmpl w:val="68E20EFC"/>
    <w:lvl w:ilvl="0" w:tplc="35B24CFE">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728A8"/>
    <w:multiLevelType w:val="hybridMultilevel"/>
    <w:tmpl w:val="CE960E2C"/>
    <w:lvl w:ilvl="0" w:tplc="F6AA6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237EEA"/>
    <w:multiLevelType w:val="hybridMultilevel"/>
    <w:tmpl w:val="68E20EFC"/>
    <w:lvl w:ilvl="0" w:tplc="35B24CFE">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26CAA"/>
    <w:multiLevelType w:val="hybridMultilevel"/>
    <w:tmpl w:val="89B8F754"/>
    <w:lvl w:ilvl="0" w:tplc="543AA294">
      <w:start w:val="1"/>
      <w:numFmt w:val="lowerLetter"/>
      <w:lvlText w:val="(%1)"/>
      <w:lvlJc w:val="left"/>
      <w:pPr>
        <w:ind w:left="720" w:hanging="360"/>
      </w:pPr>
      <w:rPr>
        <w:rFonts w:hint="default"/>
      </w:rPr>
    </w:lvl>
    <w:lvl w:ilvl="1" w:tplc="08090019">
      <w:start w:val="1"/>
      <w:numFmt w:val="lowerLetter"/>
      <w:lvlText w:val="%2."/>
      <w:lvlJc w:val="left"/>
      <w:pPr>
        <w:ind w:left="720" w:hanging="360"/>
      </w:pPr>
      <w:rPr>
        <w:rFonts w:hint="default"/>
        <w:sz w:val="20"/>
      </w:rPr>
    </w:lvl>
    <w:lvl w:ilvl="2" w:tplc="DEFCE9F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C821D4"/>
    <w:multiLevelType w:val="hybridMultilevel"/>
    <w:tmpl w:val="E4E6F124"/>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5C5153"/>
    <w:multiLevelType w:val="hybridMultilevel"/>
    <w:tmpl w:val="337436A2"/>
    <w:lvl w:ilvl="0" w:tplc="0C09000F">
      <w:start w:val="1"/>
      <w:numFmt w:val="decimal"/>
      <w:lvlText w:val="%1."/>
      <w:lvlJc w:val="left"/>
      <w:pPr>
        <w:ind w:left="72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665936"/>
    <w:multiLevelType w:val="hybridMultilevel"/>
    <w:tmpl w:val="60E469C4"/>
    <w:lvl w:ilvl="0" w:tplc="08090019">
      <w:start w:val="1"/>
      <w:numFmt w:val="lowerLetter"/>
      <w:lvlText w:val="%1."/>
      <w:lvlJc w:val="left"/>
      <w:pPr>
        <w:ind w:left="1080" w:hanging="360"/>
      </w:pPr>
      <w:rPr>
        <w:rFonts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4176425"/>
    <w:multiLevelType w:val="hybridMultilevel"/>
    <w:tmpl w:val="4D120C20"/>
    <w:lvl w:ilvl="0" w:tplc="F60275DE">
      <w:start w:val="1"/>
      <w:numFmt w:val="bullet"/>
      <w:lvlText w:val=""/>
      <w:lvlJc w:val="left"/>
      <w:pPr>
        <w:tabs>
          <w:tab w:val="num" w:pos="720"/>
        </w:tabs>
        <w:ind w:left="720" w:hanging="360"/>
      </w:pPr>
      <w:rPr>
        <w:rFonts w:ascii="Symbol" w:hAnsi="Symbol" w:hint="default"/>
        <w:sz w:val="20"/>
      </w:rPr>
    </w:lvl>
    <w:lvl w:ilvl="1" w:tplc="21EC9F8C">
      <w:numFmt w:val="bullet"/>
      <w:lvlText w:val="-"/>
      <w:lvlJc w:val="left"/>
      <w:pPr>
        <w:ind w:left="1440" w:hanging="360"/>
      </w:pPr>
      <w:rPr>
        <w:rFonts w:ascii="Calibri" w:eastAsia="Times New Roman" w:hAnsi="Calibri" w:cs="Calibri" w:hint="default"/>
      </w:rPr>
    </w:lvl>
    <w:lvl w:ilvl="2" w:tplc="32C6345A" w:tentative="1">
      <w:start w:val="1"/>
      <w:numFmt w:val="bullet"/>
      <w:lvlText w:val=""/>
      <w:lvlJc w:val="left"/>
      <w:pPr>
        <w:tabs>
          <w:tab w:val="num" w:pos="2160"/>
        </w:tabs>
        <w:ind w:left="2160" w:hanging="360"/>
      </w:pPr>
      <w:rPr>
        <w:rFonts w:ascii="Symbol" w:hAnsi="Symbol" w:hint="default"/>
        <w:sz w:val="20"/>
      </w:rPr>
    </w:lvl>
    <w:lvl w:ilvl="3" w:tplc="F31C3950" w:tentative="1">
      <w:start w:val="1"/>
      <w:numFmt w:val="bullet"/>
      <w:lvlText w:val=""/>
      <w:lvlJc w:val="left"/>
      <w:pPr>
        <w:tabs>
          <w:tab w:val="num" w:pos="2880"/>
        </w:tabs>
        <w:ind w:left="2880" w:hanging="360"/>
      </w:pPr>
      <w:rPr>
        <w:rFonts w:ascii="Symbol" w:hAnsi="Symbol" w:hint="default"/>
        <w:sz w:val="20"/>
      </w:rPr>
    </w:lvl>
    <w:lvl w:ilvl="4" w:tplc="069E2032" w:tentative="1">
      <w:start w:val="1"/>
      <w:numFmt w:val="bullet"/>
      <w:lvlText w:val=""/>
      <w:lvlJc w:val="left"/>
      <w:pPr>
        <w:tabs>
          <w:tab w:val="num" w:pos="3600"/>
        </w:tabs>
        <w:ind w:left="3600" w:hanging="360"/>
      </w:pPr>
      <w:rPr>
        <w:rFonts w:ascii="Symbol" w:hAnsi="Symbol" w:hint="default"/>
        <w:sz w:val="20"/>
      </w:rPr>
    </w:lvl>
    <w:lvl w:ilvl="5" w:tplc="6F4E88A2" w:tentative="1">
      <w:start w:val="1"/>
      <w:numFmt w:val="bullet"/>
      <w:lvlText w:val=""/>
      <w:lvlJc w:val="left"/>
      <w:pPr>
        <w:tabs>
          <w:tab w:val="num" w:pos="4320"/>
        </w:tabs>
        <w:ind w:left="4320" w:hanging="360"/>
      </w:pPr>
      <w:rPr>
        <w:rFonts w:ascii="Symbol" w:hAnsi="Symbol" w:hint="default"/>
        <w:sz w:val="20"/>
      </w:rPr>
    </w:lvl>
    <w:lvl w:ilvl="6" w:tplc="31C6D318" w:tentative="1">
      <w:start w:val="1"/>
      <w:numFmt w:val="bullet"/>
      <w:lvlText w:val=""/>
      <w:lvlJc w:val="left"/>
      <w:pPr>
        <w:tabs>
          <w:tab w:val="num" w:pos="5040"/>
        </w:tabs>
        <w:ind w:left="5040" w:hanging="360"/>
      </w:pPr>
      <w:rPr>
        <w:rFonts w:ascii="Symbol" w:hAnsi="Symbol" w:hint="default"/>
        <w:sz w:val="20"/>
      </w:rPr>
    </w:lvl>
    <w:lvl w:ilvl="7" w:tplc="F95A8496" w:tentative="1">
      <w:start w:val="1"/>
      <w:numFmt w:val="bullet"/>
      <w:lvlText w:val=""/>
      <w:lvlJc w:val="left"/>
      <w:pPr>
        <w:tabs>
          <w:tab w:val="num" w:pos="5760"/>
        </w:tabs>
        <w:ind w:left="5760" w:hanging="360"/>
      </w:pPr>
      <w:rPr>
        <w:rFonts w:ascii="Symbol" w:hAnsi="Symbol" w:hint="default"/>
        <w:sz w:val="20"/>
      </w:rPr>
    </w:lvl>
    <w:lvl w:ilvl="8" w:tplc="F4A05410"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9819E1"/>
    <w:multiLevelType w:val="hybridMultilevel"/>
    <w:tmpl w:val="24FEAD20"/>
    <w:lvl w:ilvl="0" w:tplc="CA96811E">
      <w:start w:val="1"/>
      <w:numFmt w:val="bullet"/>
      <w:lvlText w:val=""/>
      <w:lvlJc w:val="left"/>
      <w:pPr>
        <w:ind w:left="720" w:hanging="360"/>
      </w:pPr>
      <w:rPr>
        <w:rFonts w:ascii="Symbol" w:hAnsi="Symbol" w:hint="default"/>
        <w:color w:val="auto"/>
      </w:rPr>
    </w:lvl>
    <w:lvl w:ilvl="1" w:tplc="CA96811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067DD"/>
    <w:multiLevelType w:val="hybridMultilevel"/>
    <w:tmpl w:val="DD7C762E"/>
    <w:lvl w:ilvl="0" w:tplc="453EACD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B84394"/>
    <w:multiLevelType w:val="hybridMultilevel"/>
    <w:tmpl w:val="7E2A7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C5279"/>
    <w:multiLevelType w:val="hybridMultilevel"/>
    <w:tmpl w:val="3A1A7F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755497"/>
    <w:multiLevelType w:val="hybridMultilevel"/>
    <w:tmpl w:val="FC2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B0211"/>
    <w:multiLevelType w:val="hybridMultilevel"/>
    <w:tmpl w:val="68E20EFC"/>
    <w:lvl w:ilvl="0" w:tplc="35B24CFE">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47532B"/>
    <w:multiLevelType w:val="hybridMultilevel"/>
    <w:tmpl w:val="DB7A5BE4"/>
    <w:lvl w:ilvl="0" w:tplc="C07AB4E0">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378E2"/>
    <w:multiLevelType w:val="hybridMultilevel"/>
    <w:tmpl w:val="8F7E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7C01FB"/>
    <w:multiLevelType w:val="hybridMultilevel"/>
    <w:tmpl w:val="5DE22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0B7195"/>
    <w:multiLevelType w:val="multilevel"/>
    <w:tmpl w:val="FAF42FCA"/>
    <w:lvl w:ilvl="0">
      <w:start w:val="1"/>
      <w:numFmt w:val="decimal"/>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C7E1A3B"/>
    <w:multiLevelType w:val="hybridMultilevel"/>
    <w:tmpl w:val="9B3CE258"/>
    <w:lvl w:ilvl="0" w:tplc="5B3C7C3C">
      <w:start w:val="1"/>
      <w:numFmt w:val="bullet"/>
      <w:lvlText w:val=""/>
      <w:lvlJc w:val="left"/>
      <w:pPr>
        <w:ind w:left="360" w:hanging="360"/>
      </w:pPr>
      <w:rPr>
        <w:rFonts w:ascii="Wingdings" w:eastAsia="Arial"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C54633"/>
    <w:multiLevelType w:val="hybridMultilevel"/>
    <w:tmpl w:val="DB248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327017"/>
    <w:multiLevelType w:val="hybridMultilevel"/>
    <w:tmpl w:val="A35A4134"/>
    <w:lvl w:ilvl="0" w:tplc="D9005F78">
      <w:start w:val="1"/>
      <w:numFmt w:val="decimal"/>
      <w:pStyle w:val="References"/>
      <w:lvlText w:val="%1."/>
      <w:lvlJc w:val="left"/>
      <w:pPr>
        <w:ind w:left="664" w:hanging="560"/>
      </w:pPr>
      <w:rPr>
        <w:rFonts w:ascii="Arial" w:eastAsia="Arial" w:hAnsi="Arial" w:cs="Arial" w:hint="default"/>
        <w:spacing w:val="-1"/>
        <w:w w:val="99"/>
        <w:sz w:val="20"/>
        <w:szCs w:val="20"/>
        <w:lang w:val="en-AU" w:eastAsia="en-AU" w:bidi="en-AU"/>
      </w:rPr>
    </w:lvl>
    <w:lvl w:ilvl="1" w:tplc="336E4BDA">
      <w:numFmt w:val="bullet"/>
      <w:lvlText w:val="•"/>
      <w:lvlJc w:val="left"/>
      <w:pPr>
        <w:ind w:left="1591" w:hanging="560"/>
      </w:pPr>
      <w:rPr>
        <w:rFonts w:hint="default"/>
        <w:lang w:val="en-AU" w:eastAsia="en-AU" w:bidi="en-AU"/>
      </w:rPr>
    </w:lvl>
    <w:lvl w:ilvl="2" w:tplc="6DCE0BF4">
      <w:numFmt w:val="bullet"/>
      <w:lvlText w:val="•"/>
      <w:lvlJc w:val="left"/>
      <w:pPr>
        <w:ind w:left="2523" w:hanging="560"/>
      </w:pPr>
      <w:rPr>
        <w:rFonts w:hint="default"/>
        <w:lang w:val="en-AU" w:eastAsia="en-AU" w:bidi="en-AU"/>
      </w:rPr>
    </w:lvl>
    <w:lvl w:ilvl="3" w:tplc="E44CDADC">
      <w:numFmt w:val="bullet"/>
      <w:lvlText w:val="•"/>
      <w:lvlJc w:val="left"/>
      <w:pPr>
        <w:ind w:left="3455" w:hanging="560"/>
      </w:pPr>
      <w:rPr>
        <w:rFonts w:hint="default"/>
        <w:lang w:val="en-AU" w:eastAsia="en-AU" w:bidi="en-AU"/>
      </w:rPr>
    </w:lvl>
    <w:lvl w:ilvl="4" w:tplc="AFCA4CD8">
      <w:numFmt w:val="bullet"/>
      <w:lvlText w:val="•"/>
      <w:lvlJc w:val="left"/>
      <w:pPr>
        <w:ind w:left="4387" w:hanging="560"/>
      </w:pPr>
      <w:rPr>
        <w:rFonts w:hint="default"/>
        <w:lang w:val="en-AU" w:eastAsia="en-AU" w:bidi="en-AU"/>
      </w:rPr>
    </w:lvl>
    <w:lvl w:ilvl="5" w:tplc="6DCCA1B8">
      <w:numFmt w:val="bullet"/>
      <w:lvlText w:val="•"/>
      <w:lvlJc w:val="left"/>
      <w:pPr>
        <w:ind w:left="5319" w:hanging="560"/>
      </w:pPr>
      <w:rPr>
        <w:rFonts w:hint="default"/>
        <w:lang w:val="en-AU" w:eastAsia="en-AU" w:bidi="en-AU"/>
      </w:rPr>
    </w:lvl>
    <w:lvl w:ilvl="6" w:tplc="78AE3BB2">
      <w:numFmt w:val="bullet"/>
      <w:lvlText w:val="•"/>
      <w:lvlJc w:val="left"/>
      <w:pPr>
        <w:ind w:left="6251" w:hanging="560"/>
      </w:pPr>
      <w:rPr>
        <w:rFonts w:hint="default"/>
        <w:lang w:val="en-AU" w:eastAsia="en-AU" w:bidi="en-AU"/>
      </w:rPr>
    </w:lvl>
    <w:lvl w:ilvl="7" w:tplc="9248604E">
      <w:numFmt w:val="bullet"/>
      <w:lvlText w:val="•"/>
      <w:lvlJc w:val="left"/>
      <w:pPr>
        <w:ind w:left="7183" w:hanging="560"/>
      </w:pPr>
      <w:rPr>
        <w:rFonts w:hint="default"/>
        <w:lang w:val="en-AU" w:eastAsia="en-AU" w:bidi="en-AU"/>
      </w:rPr>
    </w:lvl>
    <w:lvl w:ilvl="8" w:tplc="15ACC17C">
      <w:numFmt w:val="bullet"/>
      <w:lvlText w:val="•"/>
      <w:lvlJc w:val="left"/>
      <w:pPr>
        <w:ind w:left="8115" w:hanging="560"/>
      </w:pPr>
      <w:rPr>
        <w:rFonts w:hint="default"/>
        <w:lang w:val="en-AU" w:eastAsia="en-AU" w:bidi="en-AU"/>
      </w:rPr>
    </w:lvl>
  </w:abstractNum>
  <w:abstractNum w:abstractNumId="37" w15:restartNumberingAfterBreak="0">
    <w:nsid w:val="667C028D"/>
    <w:multiLevelType w:val="hybridMultilevel"/>
    <w:tmpl w:val="A694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B35E4"/>
    <w:multiLevelType w:val="hybridMultilevel"/>
    <w:tmpl w:val="00A6220A"/>
    <w:lvl w:ilvl="0" w:tplc="23861A08">
      <w:start w:val="1"/>
      <w:numFmt w:val="decimal"/>
      <w:pStyle w:val="1Numberedlist"/>
      <w:lvlText w:val="%1."/>
      <w:lvlJc w:val="left"/>
      <w:pPr>
        <w:ind w:left="360"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68AB3683"/>
    <w:multiLevelType w:val="hybridMultilevel"/>
    <w:tmpl w:val="68E20EFC"/>
    <w:lvl w:ilvl="0" w:tplc="35B24CFE">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D9390C"/>
    <w:multiLevelType w:val="hybridMultilevel"/>
    <w:tmpl w:val="7A88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BD4A90"/>
    <w:multiLevelType w:val="hybridMultilevel"/>
    <w:tmpl w:val="653AD0DA"/>
    <w:lvl w:ilvl="0" w:tplc="08090019">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A126DA"/>
    <w:multiLevelType w:val="hybridMultilevel"/>
    <w:tmpl w:val="68E20EFC"/>
    <w:lvl w:ilvl="0" w:tplc="35B24CFE">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A514AE"/>
    <w:multiLevelType w:val="hybridMultilevel"/>
    <w:tmpl w:val="10A259F0"/>
    <w:lvl w:ilvl="0" w:tplc="38706CE6">
      <w:start w:val="1"/>
      <w:numFmt w:val="decimal"/>
      <w:lvlText w:val="%1."/>
      <w:lvlJc w:val="left"/>
      <w:pPr>
        <w:ind w:left="720" w:hanging="360"/>
      </w:pPr>
      <w:rPr>
        <w:rFonts w:ascii="Corbel" w:hAnsi="Corbe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5547FE"/>
    <w:multiLevelType w:val="hybridMultilevel"/>
    <w:tmpl w:val="68E20EFC"/>
    <w:lvl w:ilvl="0" w:tplc="35B24CFE">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8"/>
  </w:num>
  <w:num w:numId="3">
    <w:abstractNumId w:val="11"/>
  </w:num>
  <w:num w:numId="4">
    <w:abstractNumId w:val="27"/>
  </w:num>
  <w:num w:numId="5">
    <w:abstractNumId w:val="2"/>
  </w:num>
  <w:num w:numId="6">
    <w:abstractNumId w:val="10"/>
  </w:num>
  <w:num w:numId="7">
    <w:abstractNumId w:val="34"/>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3"/>
  </w:num>
  <w:num w:numId="11">
    <w:abstractNumId w:val="18"/>
  </w:num>
  <w:num w:numId="12">
    <w:abstractNumId w:val="42"/>
  </w:num>
  <w:num w:numId="13">
    <w:abstractNumId w:val="15"/>
  </w:num>
  <w:num w:numId="14">
    <w:abstractNumId w:val="44"/>
  </w:num>
  <w:num w:numId="15">
    <w:abstractNumId w:val="29"/>
  </w:num>
  <w:num w:numId="16">
    <w:abstractNumId w:val="37"/>
  </w:num>
  <w:num w:numId="17">
    <w:abstractNumId w:val="24"/>
  </w:num>
  <w:num w:numId="18">
    <w:abstractNumId w:val="5"/>
  </w:num>
  <w:num w:numId="19">
    <w:abstractNumId w:val="12"/>
  </w:num>
  <w:num w:numId="20">
    <w:abstractNumId w:val="16"/>
  </w:num>
  <w:num w:numId="21">
    <w:abstractNumId w:val="43"/>
  </w:num>
  <w:num w:numId="22">
    <w:abstractNumId w:val="25"/>
  </w:num>
  <w:num w:numId="23">
    <w:abstractNumId w:val="13"/>
  </w:num>
  <w:num w:numId="24">
    <w:abstractNumId w:val="8"/>
  </w:num>
  <w:num w:numId="25">
    <w:abstractNumId w:val="28"/>
  </w:num>
  <w:num w:numId="26">
    <w:abstractNumId w:val="0"/>
  </w:num>
  <w:num w:numId="27">
    <w:abstractNumId w:val="14"/>
  </w:num>
  <w:num w:numId="28">
    <w:abstractNumId w:val="30"/>
  </w:num>
  <w:num w:numId="29">
    <w:abstractNumId w:val="9"/>
  </w:num>
  <w:num w:numId="30">
    <w:abstractNumId w:val="4"/>
  </w:num>
  <w:num w:numId="31">
    <w:abstractNumId w:val="6"/>
  </w:num>
  <w:num w:numId="32">
    <w:abstractNumId w:val="31"/>
  </w:num>
  <w:num w:numId="33">
    <w:abstractNumId w:val="17"/>
  </w:num>
  <w:num w:numId="34">
    <w:abstractNumId w:val="3"/>
  </w:num>
  <w:num w:numId="35">
    <w:abstractNumId w:val="20"/>
  </w:num>
  <w:num w:numId="36">
    <w:abstractNumId w:val="19"/>
  </w:num>
  <w:num w:numId="37">
    <w:abstractNumId w:val="1"/>
  </w:num>
  <w:num w:numId="38">
    <w:abstractNumId w:val="41"/>
  </w:num>
  <w:num w:numId="39">
    <w:abstractNumId w:val="22"/>
  </w:num>
  <w:num w:numId="40">
    <w:abstractNumId w:val="35"/>
  </w:num>
  <w:num w:numId="41">
    <w:abstractNumId w:val="7"/>
  </w:num>
  <w:num w:numId="42">
    <w:abstractNumId w:val="32"/>
  </w:num>
  <w:num w:numId="43">
    <w:abstractNumId w:val="26"/>
  </w:num>
  <w:num w:numId="44">
    <w:abstractNumId w:val="40"/>
  </w:num>
  <w:num w:numId="4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a5wrrfnvps2qerwdrxpts7zvfrfrasf50a&quot;&gt;EA_PP_Finalreport&lt;record-ids&gt;&lt;item&gt;1&lt;/item&gt;&lt;item&gt;2&lt;/item&gt;&lt;item&gt;3&lt;/item&gt;&lt;item&gt;4&lt;/item&gt;&lt;item&gt;5&lt;/item&gt;&lt;item&gt;6&lt;/item&gt;&lt;item&gt;7&lt;/item&gt;&lt;item&gt;8&lt;/item&gt;&lt;item&gt;9&lt;/item&gt;&lt;item&gt;10&lt;/item&gt;&lt;item&gt;11&lt;/item&gt;&lt;item&gt;12&lt;/item&gt;&lt;item&gt;14&lt;/item&gt;&lt;item&gt;15&lt;/item&gt;&lt;item&gt;16&lt;/item&gt;&lt;item&gt;17&lt;/item&gt;&lt;item&gt;18&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6&lt;/item&gt;&lt;item&gt;67&lt;/item&gt;&lt;item&gt;68&lt;/item&gt;&lt;item&gt;69&lt;/item&gt;&lt;item&gt;70&lt;/item&gt;&lt;item&gt;71&lt;/item&gt;&lt;item&gt;72&lt;/item&gt;&lt;item&gt;74&lt;/item&gt;&lt;item&gt;75&lt;/item&gt;&lt;item&gt;76&lt;/item&gt;&lt;item&gt;77&lt;/item&gt;&lt;item&gt;78&lt;/item&gt;&lt;/record-ids&gt;&lt;/item&gt;&lt;/Libraries&gt;"/>
  </w:docVars>
  <w:rsids>
    <w:rsidRoot w:val="00E311C3"/>
    <w:rsid w:val="00000F68"/>
    <w:rsid w:val="0000162C"/>
    <w:rsid w:val="0000333E"/>
    <w:rsid w:val="000036C0"/>
    <w:rsid w:val="00005379"/>
    <w:rsid w:val="00011653"/>
    <w:rsid w:val="00012F74"/>
    <w:rsid w:val="00014B81"/>
    <w:rsid w:val="00015ABE"/>
    <w:rsid w:val="000170EC"/>
    <w:rsid w:val="000239A0"/>
    <w:rsid w:val="000276F9"/>
    <w:rsid w:val="00027F4C"/>
    <w:rsid w:val="00030385"/>
    <w:rsid w:val="00030CDB"/>
    <w:rsid w:val="0003222D"/>
    <w:rsid w:val="0003337F"/>
    <w:rsid w:val="00033A17"/>
    <w:rsid w:val="000349C2"/>
    <w:rsid w:val="00035BF1"/>
    <w:rsid w:val="00040141"/>
    <w:rsid w:val="00040858"/>
    <w:rsid w:val="00041E27"/>
    <w:rsid w:val="00042CF6"/>
    <w:rsid w:val="00043180"/>
    <w:rsid w:val="000448AF"/>
    <w:rsid w:val="00045613"/>
    <w:rsid w:val="00046018"/>
    <w:rsid w:val="00046291"/>
    <w:rsid w:val="00046642"/>
    <w:rsid w:val="00047894"/>
    <w:rsid w:val="00051139"/>
    <w:rsid w:val="00053801"/>
    <w:rsid w:val="0005388D"/>
    <w:rsid w:val="000538DB"/>
    <w:rsid w:val="00054047"/>
    <w:rsid w:val="00055810"/>
    <w:rsid w:val="00055B84"/>
    <w:rsid w:val="00055BAC"/>
    <w:rsid w:val="000603CD"/>
    <w:rsid w:val="000617C1"/>
    <w:rsid w:val="0006203C"/>
    <w:rsid w:val="00063D15"/>
    <w:rsid w:val="000662FA"/>
    <w:rsid w:val="00070927"/>
    <w:rsid w:val="00070AF2"/>
    <w:rsid w:val="00070D87"/>
    <w:rsid w:val="00072D1F"/>
    <w:rsid w:val="00073F00"/>
    <w:rsid w:val="00074499"/>
    <w:rsid w:val="0007646C"/>
    <w:rsid w:val="000774B1"/>
    <w:rsid w:val="00080FD5"/>
    <w:rsid w:val="00083039"/>
    <w:rsid w:val="00083F66"/>
    <w:rsid w:val="00084764"/>
    <w:rsid w:val="0008594D"/>
    <w:rsid w:val="00086810"/>
    <w:rsid w:val="000872C1"/>
    <w:rsid w:val="000911F3"/>
    <w:rsid w:val="00092C92"/>
    <w:rsid w:val="0009456B"/>
    <w:rsid w:val="00095D20"/>
    <w:rsid w:val="0009692F"/>
    <w:rsid w:val="0009708C"/>
    <w:rsid w:val="000A0065"/>
    <w:rsid w:val="000A0543"/>
    <w:rsid w:val="000A171B"/>
    <w:rsid w:val="000A302D"/>
    <w:rsid w:val="000A31C8"/>
    <w:rsid w:val="000A4615"/>
    <w:rsid w:val="000A5D96"/>
    <w:rsid w:val="000A6C4D"/>
    <w:rsid w:val="000A6F61"/>
    <w:rsid w:val="000A7514"/>
    <w:rsid w:val="000B0975"/>
    <w:rsid w:val="000B154F"/>
    <w:rsid w:val="000B220B"/>
    <w:rsid w:val="000B2F88"/>
    <w:rsid w:val="000B3C0D"/>
    <w:rsid w:val="000B5209"/>
    <w:rsid w:val="000B5DEE"/>
    <w:rsid w:val="000B5FE6"/>
    <w:rsid w:val="000B60A0"/>
    <w:rsid w:val="000B6F2C"/>
    <w:rsid w:val="000B79C7"/>
    <w:rsid w:val="000B7C50"/>
    <w:rsid w:val="000C51A7"/>
    <w:rsid w:val="000C6673"/>
    <w:rsid w:val="000C7ABC"/>
    <w:rsid w:val="000D0073"/>
    <w:rsid w:val="000D2CA2"/>
    <w:rsid w:val="000D3080"/>
    <w:rsid w:val="000D314A"/>
    <w:rsid w:val="000D3881"/>
    <w:rsid w:val="000D7FA6"/>
    <w:rsid w:val="000E1854"/>
    <w:rsid w:val="000E1EC3"/>
    <w:rsid w:val="000E1F5F"/>
    <w:rsid w:val="000E3CA9"/>
    <w:rsid w:val="000E697D"/>
    <w:rsid w:val="000E767D"/>
    <w:rsid w:val="000E7FAD"/>
    <w:rsid w:val="000F1088"/>
    <w:rsid w:val="000F1EC1"/>
    <w:rsid w:val="000F1F81"/>
    <w:rsid w:val="000F332A"/>
    <w:rsid w:val="000F46A8"/>
    <w:rsid w:val="000F4E8D"/>
    <w:rsid w:val="000F7833"/>
    <w:rsid w:val="00101B40"/>
    <w:rsid w:val="00101D78"/>
    <w:rsid w:val="001040E8"/>
    <w:rsid w:val="00104C2E"/>
    <w:rsid w:val="00104C62"/>
    <w:rsid w:val="0010531B"/>
    <w:rsid w:val="00105B25"/>
    <w:rsid w:val="00105C19"/>
    <w:rsid w:val="00106F49"/>
    <w:rsid w:val="00112083"/>
    <w:rsid w:val="00113B66"/>
    <w:rsid w:val="0011627A"/>
    <w:rsid w:val="0011726D"/>
    <w:rsid w:val="00117EA6"/>
    <w:rsid w:val="00122020"/>
    <w:rsid w:val="0012321A"/>
    <w:rsid w:val="00125ED0"/>
    <w:rsid w:val="00127267"/>
    <w:rsid w:val="0013308F"/>
    <w:rsid w:val="001330C8"/>
    <w:rsid w:val="00133B73"/>
    <w:rsid w:val="00133E8F"/>
    <w:rsid w:val="00135AAE"/>
    <w:rsid w:val="00135E3E"/>
    <w:rsid w:val="00136631"/>
    <w:rsid w:val="00136B6D"/>
    <w:rsid w:val="001412E1"/>
    <w:rsid w:val="001451D6"/>
    <w:rsid w:val="00147F30"/>
    <w:rsid w:val="0015040E"/>
    <w:rsid w:val="00151488"/>
    <w:rsid w:val="00152643"/>
    <w:rsid w:val="00152A6F"/>
    <w:rsid w:val="00152DA2"/>
    <w:rsid w:val="00154F2D"/>
    <w:rsid w:val="001566A8"/>
    <w:rsid w:val="001568F2"/>
    <w:rsid w:val="00156C50"/>
    <w:rsid w:val="00161638"/>
    <w:rsid w:val="00162316"/>
    <w:rsid w:val="001626F1"/>
    <w:rsid w:val="001628D0"/>
    <w:rsid w:val="00163C31"/>
    <w:rsid w:val="00164673"/>
    <w:rsid w:val="001655A3"/>
    <w:rsid w:val="001656C3"/>
    <w:rsid w:val="00166CBE"/>
    <w:rsid w:val="00167074"/>
    <w:rsid w:val="001716BF"/>
    <w:rsid w:val="001721CF"/>
    <w:rsid w:val="00173F1B"/>
    <w:rsid w:val="001764DE"/>
    <w:rsid w:val="001766A1"/>
    <w:rsid w:val="0018203B"/>
    <w:rsid w:val="00182235"/>
    <w:rsid w:val="001847FC"/>
    <w:rsid w:val="00184B16"/>
    <w:rsid w:val="00193650"/>
    <w:rsid w:val="001948C6"/>
    <w:rsid w:val="0019505F"/>
    <w:rsid w:val="0019736A"/>
    <w:rsid w:val="001A380C"/>
    <w:rsid w:val="001A4C8F"/>
    <w:rsid w:val="001A6392"/>
    <w:rsid w:val="001A74F5"/>
    <w:rsid w:val="001A7A36"/>
    <w:rsid w:val="001A7B42"/>
    <w:rsid w:val="001B017C"/>
    <w:rsid w:val="001B05AF"/>
    <w:rsid w:val="001B164A"/>
    <w:rsid w:val="001B4C11"/>
    <w:rsid w:val="001B6161"/>
    <w:rsid w:val="001C021F"/>
    <w:rsid w:val="001C0359"/>
    <w:rsid w:val="001C1130"/>
    <w:rsid w:val="001C1759"/>
    <w:rsid w:val="001C1FCA"/>
    <w:rsid w:val="001C22EB"/>
    <w:rsid w:val="001C24D2"/>
    <w:rsid w:val="001C451C"/>
    <w:rsid w:val="001C5283"/>
    <w:rsid w:val="001C6327"/>
    <w:rsid w:val="001C638E"/>
    <w:rsid w:val="001C7210"/>
    <w:rsid w:val="001D1199"/>
    <w:rsid w:val="001D2366"/>
    <w:rsid w:val="001D2DA1"/>
    <w:rsid w:val="001D357E"/>
    <w:rsid w:val="001D46F2"/>
    <w:rsid w:val="001D4E8F"/>
    <w:rsid w:val="001D643F"/>
    <w:rsid w:val="001D6DDA"/>
    <w:rsid w:val="001D77A8"/>
    <w:rsid w:val="001D7A63"/>
    <w:rsid w:val="001E0676"/>
    <w:rsid w:val="001E1846"/>
    <w:rsid w:val="001E27FA"/>
    <w:rsid w:val="001E4FE3"/>
    <w:rsid w:val="001E6CA7"/>
    <w:rsid w:val="001E6E6D"/>
    <w:rsid w:val="001F0DB6"/>
    <w:rsid w:val="001F1C14"/>
    <w:rsid w:val="001F2B0A"/>
    <w:rsid w:val="001F2BD5"/>
    <w:rsid w:val="001F3A50"/>
    <w:rsid w:val="001F43F9"/>
    <w:rsid w:val="001F49DD"/>
    <w:rsid w:val="001F51C4"/>
    <w:rsid w:val="001F6196"/>
    <w:rsid w:val="002047D8"/>
    <w:rsid w:val="00211066"/>
    <w:rsid w:val="00212BAC"/>
    <w:rsid w:val="00213C9E"/>
    <w:rsid w:val="002150FD"/>
    <w:rsid w:val="00215640"/>
    <w:rsid w:val="002166A0"/>
    <w:rsid w:val="00221BA9"/>
    <w:rsid w:val="00223001"/>
    <w:rsid w:val="00223B81"/>
    <w:rsid w:val="002269C6"/>
    <w:rsid w:val="0023015A"/>
    <w:rsid w:val="002303F0"/>
    <w:rsid w:val="00230506"/>
    <w:rsid w:val="00231A3F"/>
    <w:rsid w:val="00232050"/>
    <w:rsid w:val="00233441"/>
    <w:rsid w:val="00235CDA"/>
    <w:rsid w:val="00236240"/>
    <w:rsid w:val="002366D5"/>
    <w:rsid w:val="00236736"/>
    <w:rsid w:val="00237E06"/>
    <w:rsid w:val="002401D4"/>
    <w:rsid w:val="00240BB1"/>
    <w:rsid w:val="00241165"/>
    <w:rsid w:val="0024136C"/>
    <w:rsid w:val="0024270C"/>
    <w:rsid w:val="002452B6"/>
    <w:rsid w:val="002460A6"/>
    <w:rsid w:val="00250A6C"/>
    <w:rsid w:val="00251BF2"/>
    <w:rsid w:val="002531D2"/>
    <w:rsid w:val="00255315"/>
    <w:rsid w:val="00255A9A"/>
    <w:rsid w:val="002564E5"/>
    <w:rsid w:val="00260ADE"/>
    <w:rsid w:val="00260AF8"/>
    <w:rsid w:val="00264236"/>
    <w:rsid w:val="00264934"/>
    <w:rsid w:val="00264C66"/>
    <w:rsid w:val="002717BC"/>
    <w:rsid w:val="002759D3"/>
    <w:rsid w:val="00276686"/>
    <w:rsid w:val="00276CD1"/>
    <w:rsid w:val="0027723E"/>
    <w:rsid w:val="00280B98"/>
    <w:rsid w:val="00281792"/>
    <w:rsid w:val="0028298B"/>
    <w:rsid w:val="002839D8"/>
    <w:rsid w:val="002841B1"/>
    <w:rsid w:val="00284347"/>
    <w:rsid w:val="002865C1"/>
    <w:rsid w:val="00287E5C"/>
    <w:rsid w:val="002906D7"/>
    <w:rsid w:val="00291299"/>
    <w:rsid w:val="00291625"/>
    <w:rsid w:val="0029240B"/>
    <w:rsid w:val="00296228"/>
    <w:rsid w:val="002963E4"/>
    <w:rsid w:val="002971CB"/>
    <w:rsid w:val="002A038E"/>
    <w:rsid w:val="002A3BD2"/>
    <w:rsid w:val="002A4B8F"/>
    <w:rsid w:val="002A4C35"/>
    <w:rsid w:val="002A636A"/>
    <w:rsid w:val="002A74B4"/>
    <w:rsid w:val="002B148C"/>
    <w:rsid w:val="002B1F58"/>
    <w:rsid w:val="002B3533"/>
    <w:rsid w:val="002B3C67"/>
    <w:rsid w:val="002B3DC3"/>
    <w:rsid w:val="002B5C75"/>
    <w:rsid w:val="002B5E5C"/>
    <w:rsid w:val="002C15D3"/>
    <w:rsid w:val="002C27B6"/>
    <w:rsid w:val="002C3343"/>
    <w:rsid w:val="002C5183"/>
    <w:rsid w:val="002C5796"/>
    <w:rsid w:val="002C6A21"/>
    <w:rsid w:val="002C70D7"/>
    <w:rsid w:val="002D0340"/>
    <w:rsid w:val="002D13D2"/>
    <w:rsid w:val="002D16C4"/>
    <w:rsid w:val="002D1E3E"/>
    <w:rsid w:val="002D565C"/>
    <w:rsid w:val="002D6767"/>
    <w:rsid w:val="002D6BF4"/>
    <w:rsid w:val="002E0B80"/>
    <w:rsid w:val="002E3253"/>
    <w:rsid w:val="002E3C3D"/>
    <w:rsid w:val="002E4542"/>
    <w:rsid w:val="002E4A14"/>
    <w:rsid w:val="002E4CFF"/>
    <w:rsid w:val="002E542E"/>
    <w:rsid w:val="002E5B74"/>
    <w:rsid w:val="002E6CE6"/>
    <w:rsid w:val="002F0E0F"/>
    <w:rsid w:val="002F171F"/>
    <w:rsid w:val="002F1BD7"/>
    <w:rsid w:val="002F1E2E"/>
    <w:rsid w:val="002F2971"/>
    <w:rsid w:val="002F43BE"/>
    <w:rsid w:val="002F4BE1"/>
    <w:rsid w:val="00303E82"/>
    <w:rsid w:val="00303F05"/>
    <w:rsid w:val="003040D0"/>
    <w:rsid w:val="00306B5E"/>
    <w:rsid w:val="00307CC3"/>
    <w:rsid w:val="00310142"/>
    <w:rsid w:val="0031208F"/>
    <w:rsid w:val="00312686"/>
    <w:rsid w:val="003127F1"/>
    <w:rsid w:val="00313AD5"/>
    <w:rsid w:val="00316CE5"/>
    <w:rsid w:val="00317558"/>
    <w:rsid w:val="00317AA4"/>
    <w:rsid w:val="00321599"/>
    <w:rsid w:val="00323C69"/>
    <w:rsid w:val="0032503B"/>
    <w:rsid w:val="00327D30"/>
    <w:rsid w:val="00333E84"/>
    <w:rsid w:val="00337985"/>
    <w:rsid w:val="00340CB2"/>
    <w:rsid w:val="003438F5"/>
    <w:rsid w:val="00343B66"/>
    <w:rsid w:val="00345285"/>
    <w:rsid w:val="00345598"/>
    <w:rsid w:val="00345D31"/>
    <w:rsid w:val="00351C86"/>
    <w:rsid w:val="003537F4"/>
    <w:rsid w:val="0035430F"/>
    <w:rsid w:val="00354882"/>
    <w:rsid w:val="00356C95"/>
    <w:rsid w:val="00360682"/>
    <w:rsid w:val="003638E0"/>
    <w:rsid w:val="00363D60"/>
    <w:rsid w:val="00364234"/>
    <w:rsid w:val="00364B1D"/>
    <w:rsid w:val="0036588C"/>
    <w:rsid w:val="00365FC3"/>
    <w:rsid w:val="00367465"/>
    <w:rsid w:val="00371CAC"/>
    <w:rsid w:val="0037267E"/>
    <w:rsid w:val="00372723"/>
    <w:rsid w:val="003738D1"/>
    <w:rsid w:val="00375F7D"/>
    <w:rsid w:val="00380C9C"/>
    <w:rsid w:val="003816AE"/>
    <w:rsid w:val="003820C5"/>
    <w:rsid w:val="00382841"/>
    <w:rsid w:val="003835E3"/>
    <w:rsid w:val="00383FEC"/>
    <w:rsid w:val="00384B7A"/>
    <w:rsid w:val="00395A97"/>
    <w:rsid w:val="003962E4"/>
    <w:rsid w:val="00396424"/>
    <w:rsid w:val="00397C67"/>
    <w:rsid w:val="003A05B3"/>
    <w:rsid w:val="003A1309"/>
    <w:rsid w:val="003A1AD5"/>
    <w:rsid w:val="003A1EC0"/>
    <w:rsid w:val="003A3F0D"/>
    <w:rsid w:val="003A7EF7"/>
    <w:rsid w:val="003B0DC1"/>
    <w:rsid w:val="003B1EBC"/>
    <w:rsid w:val="003B2519"/>
    <w:rsid w:val="003B2C61"/>
    <w:rsid w:val="003B35E8"/>
    <w:rsid w:val="003B42B6"/>
    <w:rsid w:val="003B545D"/>
    <w:rsid w:val="003C0FB4"/>
    <w:rsid w:val="003C36FB"/>
    <w:rsid w:val="003C4492"/>
    <w:rsid w:val="003D0212"/>
    <w:rsid w:val="003D0924"/>
    <w:rsid w:val="003D0AD6"/>
    <w:rsid w:val="003D322C"/>
    <w:rsid w:val="003D45E1"/>
    <w:rsid w:val="003D5418"/>
    <w:rsid w:val="003D566D"/>
    <w:rsid w:val="003D793D"/>
    <w:rsid w:val="003D7A40"/>
    <w:rsid w:val="003E03CA"/>
    <w:rsid w:val="003E09C9"/>
    <w:rsid w:val="003E4D10"/>
    <w:rsid w:val="003E5D42"/>
    <w:rsid w:val="003E68F4"/>
    <w:rsid w:val="003E71C3"/>
    <w:rsid w:val="003F1DEA"/>
    <w:rsid w:val="003F1F03"/>
    <w:rsid w:val="003F290A"/>
    <w:rsid w:val="003F29B7"/>
    <w:rsid w:val="003F2C6A"/>
    <w:rsid w:val="003F51E2"/>
    <w:rsid w:val="003F5A1A"/>
    <w:rsid w:val="003F6080"/>
    <w:rsid w:val="003F72A1"/>
    <w:rsid w:val="003F7718"/>
    <w:rsid w:val="00400CFB"/>
    <w:rsid w:val="0040106F"/>
    <w:rsid w:val="00401F55"/>
    <w:rsid w:val="00405CB6"/>
    <w:rsid w:val="004062EB"/>
    <w:rsid w:val="0040659C"/>
    <w:rsid w:val="004103F1"/>
    <w:rsid w:val="0041059E"/>
    <w:rsid w:val="0041217E"/>
    <w:rsid w:val="00412E82"/>
    <w:rsid w:val="00413A5E"/>
    <w:rsid w:val="004146C7"/>
    <w:rsid w:val="00422811"/>
    <w:rsid w:val="00422903"/>
    <w:rsid w:val="0042609F"/>
    <w:rsid w:val="004300BD"/>
    <w:rsid w:val="0043185E"/>
    <w:rsid w:val="00432157"/>
    <w:rsid w:val="00432D7F"/>
    <w:rsid w:val="004335AC"/>
    <w:rsid w:val="00435D6A"/>
    <w:rsid w:val="00436EAF"/>
    <w:rsid w:val="004377AD"/>
    <w:rsid w:val="00440E6C"/>
    <w:rsid w:val="004417E8"/>
    <w:rsid w:val="00441892"/>
    <w:rsid w:val="00441A5D"/>
    <w:rsid w:val="00442A78"/>
    <w:rsid w:val="00442BAE"/>
    <w:rsid w:val="004443EB"/>
    <w:rsid w:val="00453E60"/>
    <w:rsid w:val="004575BF"/>
    <w:rsid w:val="00460339"/>
    <w:rsid w:val="00460957"/>
    <w:rsid w:val="00461D5D"/>
    <w:rsid w:val="004647DE"/>
    <w:rsid w:val="004650A1"/>
    <w:rsid w:val="00467A13"/>
    <w:rsid w:val="00470E19"/>
    <w:rsid w:val="0047129F"/>
    <w:rsid w:val="00473F7E"/>
    <w:rsid w:val="004755C3"/>
    <w:rsid w:val="004764FD"/>
    <w:rsid w:val="004828E8"/>
    <w:rsid w:val="004841C6"/>
    <w:rsid w:val="004855BA"/>
    <w:rsid w:val="004861A0"/>
    <w:rsid w:val="00486813"/>
    <w:rsid w:val="004917E3"/>
    <w:rsid w:val="004923BC"/>
    <w:rsid w:val="0049392C"/>
    <w:rsid w:val="00494558"/>
    <w:rsid w:val="00497272"/>
    <w:rsid w:val="004A0632"/>
    <w:rsid w:val="004A2619"/>
    <w:rsid w:val="004A31BE"/>
    <w:rsid w:val="004A3F43"/>
    <w:rsid w:val="004A5F69"/>
    <w:rsid w:val="004A7C88"/>
    <w:rsid w:val="004B0F51"/>
    <w:rsid w:val="004B1A27"/>
    <w:rsid w:val="004B3F7D"/>
    <w:rsid w:val="004B4796"/>
    <w:rsid w:val="004C10F7"/>
    <w:rsid w:val="004C2103"/>
    <w:rsid w:val="004C558C"/>
    <w:rsid w:val="004C5C0E"/>
    <w:rsid w:val="004C744B"/>
    <w:rsid w:val="004C7468"/>
    <w:rsid w:val="004D081E"/>
    <w:rsid w:val="004D1DFF"/>
    <w:rsid w:val="004D7F28"/>
    <w:rsid w:val="004E2664"/>
    <w:rsid w:val="004E2E3D"/>
    <w:rsid w:val="004F1E13"/>
    <w:rsid w:val="004F2004"/>
    <w:rsid w:val="004F230A"/>
    <w:rsid w:val="004F3D56"/>
    <w:rsid w:val="004F5F8B"/>
    <w:rsid w:val="004F76C8"/>
    <w:rsid w:val="004F7B20"/>
    <w:rsid w:val="00501C7B"/>
    <w:rsid w:val="00501E63"/>
    <w:rsid w:val="0050245C"/>
    <w:rsid w:val="00503C8C"/>
    <w:rsid w:val="00513733"/>
    <w:rsid w:val="00516640"/>
    <w:rsid w:val="00517283"/>
    <w:rsid w:val="00520B8A"/>
    <w:rsid w:val="0052249E"/>
    <w:rsid w:val="00523DA3"/>
    <w:rsid w:val="00523EE2"/>
    <w:rsid w:val="0052472D"/>
    <w:rsid w:val="00524921"/>
    <w:rsid w:val="0052505F"/>
    <w:rsid w:val="005265AA"/>
    <w:rsid w:val="00532112"/>
    <w:rsid w:val="00532C60"/>
    <w:rsid w:val="005346AD"/>
    <w:rsid w:val="00536A53"/>
    <w:rsid w:val="00537A95"/>
    <w:rsid w:val="005428AE"/>
    <w:rsid w:val="00542F39"/>
    <w:rsid w:val="00543C14"/>
    <w:rsid w:val="0054595E"/>
    <w:rsid w:val="00546CE2"/>
    <w:rsid w:val="00551BFD"/>
    <w:rsid w:val="00552703"/>
    <w:rsid w:val="00552EE4"/>
    <w:rsid w:val="005562EE"/>
    <w:rsid w:val="00557488"/>
    <w:rsid w:val="0055783B"/>
    <w:rsid w:val="00560694"/>
    <w:rsid w:val="0056180F"/>
    <w:rsid w:val="00564512"/>
    <w:rsid w:val="00565AE0"/>
    <w:rsid w:val="00565C7B"/>
    <w:rsid w:val="00567674"/>
    <w:rsid w:val="00570C95"/>
    <w:rsid w:val="005742DB"/>
    <w:rsid w:val="00584AAA"/>
    <w:rsid w:val="00584BE0"/>
    <w:rsid w:val="00586CCC"/>
    <w:rsid w:val="00587BE3"/>
    <w:rsid w:val="00590B0F"/>
    <w:rsid w:val="0059148D"/>
    <w:rsid w:val="00591F38"/>
    <w:rsid w:val="00592359"/>
    <w:rsid w:val="0059246D"/>
    <w:rsid w:val="00594AF3"/>
    <w:rsid w:val="00595DF7"/>
    <w:rsid w:val="005A0163"/>
    <w:rsid w:val="005A19E0"/>
    <w:rsid w:val="005A1DBF"/>
    <w:rsid w:val="005A4CCD"/>
    <w:rsid w:val="005A7F77"/>
    <w:rsid w:val="005B0690"/>
    <w:rsid w:val="005B27FE"/>
    <w:rsid w:val="005B3D79"/>
    <w:rsid w:val="005B69EE"/>
    <w:rsid w:val="005C1457"/>
    <w:rsid w:val="005C1777"/>
    <w:rsid w:val="005C1C77"/>
    <w:rsid w:val="005C1DFB"/>
    <w:rsid w:val="005C407A"/>
    <w:rsid w:val="005C4BBB"/>
    <w:rsid w:val="005C5680"/>
    <w:rsid w:val="005C6D29"/>
    <w:rsid w:val="005C6D31"/>
    <w:rsid w:val="005D04DF"/>
    <w:rsid w:val="005D0F4E"/>
    <w:rsid w:val="005D12AE"/>
    <w:rsid w:val="005D14D2"/>
    <w:rsid w:val="005D2B14"/>
    <w:rsid w:val="005D480F"/>
    <w:rsid w:val="005D4A91"/>
    <w:rsid w:val="005D5470"/>
    <w:rsid w:val="005D5F42"/>
    <w:rsid w:val="005D769F"/>
    <w:rsid w:val="005E0B7E"/>
    <w:rsid w:val="005E0E45"/>
    <w:rsid w:val="005E2513"/>
    <w:rsid w:val="005E2689"/>
    <w:rsid w:val="005E2E06"/>
    <w:rsid w:val="005E3F1E"/>
    <w:rsid w:val="005E417A"/>
    <w:rsid w:val="005E65B4"/>
    <w:rsid w:val="005E69D7"/>
    <w:rsid w:val="005E70CD"/>
    <w:rsid w:val="005E718F"/>
    <w:rsid w:val="005E7462"/>
    <w:rsid w:val="005E750B"/>
    <w:rsid w:val="005E7838"/>
    <w:rsid w:val="005F037C"/>
    <w:rsid w:val="005F057C"/>
    <w:rsid w:val="005F07BE"/>
    <w:rsid w:val="005F0C41"/>
    <w:rsid w:val="005F1018"/>
    <w:rsid w:val="005F2EDB"/>
    <w:rsid w:val="005F4071"/>
    <w:rsid w:val="005F71E6"/>
    <w:rsid w:val="006004CB"/>
    <w:rsid w:val="00600692"/>
    <w:rsid w:val="006008F8"/>
    <w:rsid w:val="00600D33"/>
    <w:rsid w:val="00600E8B"/>
    <w:rsid w:val="00602933"/>
    <w:rsid w:val="00605DF7"/>
    <w:rsid w:val="00607775"/>
    <w:rsid w:val="00610C81"/>
    <w:rsid w:val="006110B5"/>
    <w:rsid w:val="00611BFA"/>
    <w:rsid w:val="00612F9C"/>
    <w:rsid w:val="00614417"/>
    <w:rsid w:val="00614C41"/>
    <w:rsid w:val="0061619C"/>
    <w:rsid w:val="00620CD6"/>
    <w:rsid w:val="006211E9"/>
    <w:rsid w:val="00623A56"/>
    <w:rsid w:val="00624A8F"/>
    <w:rsid w:val="00625C97"/>
    <w:rsid w:val="006304E5"/>
    <w:rsid w:val="00631AEB"/>
    <w:rsid w:val="00633F7E"/>
    <w:rsid w:val="006345B0"/>
    <w:rsid w:val="00634E1F"/>
    <w:rsid w:val="0063507A"/>
    <w:rsid w:val="00635FDC"/>
    <w:rsid w:val="0063693E"/>
    <w:rsid w:val="00636E58"/>
    <w:rsid w:val="00637AAE"/>
    <w:rsid w:val="00641DF4"/>
    <w:rsid w:val="00642F94"/>
    <w:rsid w:val="00644D42"/>
    <w:rsid w:val="00645395"/>
    <w:rsid w:val="0065087A"/>
    <w:rsid w:val="00654C20"/>
    <w:rsid w:val="006559C9"/>
    <w:rsid w:val="00656084"/>
    <w:rsid w:val="0065610E"/>
    <w:rsid w:val="00656B81"/>
    <w:rsid w:val="00657720"/>
    <w:rsid w:val="00665E6B"/>
    <w:rsid w:val="0067141E"/>
    <w:rsid w:val="006721C4"/>
    <w:rsid w:val="00674A9C"/>
    <w:rsid w:val="00675888"/>
    <w:rsid w:val="0067595E"/>
    <w:rsid w:val="0067724D"/>
    <w:rsid w:val="0068082C"/>
    <w:rsid w:val="00681781"/>
    <w:rsid w:val="006830A3"/>
    <w:rsid w:val="00683221"/>
    <w:rsid w:val="0068386E"/>
    <w:rsid w:val="00684247"/>
    <w:rsid w:val="00684C0D"/>
    <w:rsid w:val="00686970"/>
    <w:rsid w:val="00686F30"/>
    <w:rsid w:val="00690833"/>
    <w:rsid w:val="00690B73"/>
    <w:rsid w:val="00692B51"/>
    <w:rsid w:val="0069404D"/>
    <w:rsid w:val="00695036"/>
    <w:rsid w:val="00695A9A"/>
    <w:rsid w:val="006A2033"/>
    <w:rsid w:val="006A2399"/>
    <w:rsid w:val="006A3959"/>
    <w:rsid w:val="006A40E7"/>
    <w:rsid w:val="006A51F1"/>
    <w:rsid w:val="006A5290"/>
    <w:rsid w:val="006A5374"/>
    <w:rsid w:val="006A691D"/>
    <w:rsid w:val="006A695D"/>
    <w:rsid w:val="006B017A"/>
    <w:rsid w:val="006B064F"/>
    <w:rsid w:val="006B0ADF"/>
    <w:rsid w:val="006B18C6"/>
    <w:rsid w:val="006B194D"/>
    <w:rsid w:val="006B35BA"/>
    <w:rsid w:val="006B390F"/>
    <w:rsid w:val="006C2179"/>
    <w:rsid w:val="006C5B6E"/>
    <w:rsid w:val="006D1FF6"/>
    <w:rsid w:val="006D2AE2"/>
    <w:rsid w:val="006D4D41"/>
    <w:rsid w:val="006D59E4"/>
    <w:rsid w:val="006E1049"/>
    <w:rsid w:val="006E1FD3"/>
    <w:rsid w:val="006E27FF"/>
    <w:rsid w:val="006E31F5"/>
    <w:rsid w:val="006E5351"/>
    <w:rsid w:val="006E6038"/>
    <w:rsid w:val="006E7BE4"/>
    <w:rsid w:val="006F0309"/>
    <w:rsid w:val="006F1CF7"/>
    <w:rsid w:val="006F3855"/>
    <w:rsid w:val="006F3AAE"/>
    <w:rsid w:val="00700011"/>
    <w:rsid w:val="00700732"/>
    <w:rsid w:val="00702666"/>
    <w:rsid w:val="007029D9"/>
    <w:rsid w:val="00703339"/>
    <w:rsid w:val="0070564C"/>
    <w:rsid w:val="00706512"/>
    <w:rsid w:val="007071BA"/>
    <w:rsid w:val="00710E47"/>
    <w:rsid w:val="00711E5F"/>
    <w:rsid w:val="00714104"/>
    <w:rsid w:val="00715FC2"/>
    <w:rsid w:val="00717109"/>
    <w:rsid w:val="00720300"/>
    <w:rsid w:val="007212FF"/>
    <w:rsid w:val="007221B4"/>
    <w:rsid w:val="007226B5"/>
    <w:rsid w:val="00722B5D"/>
    <w:rsid w:val="007246A7"/>
    <w:rsid w:val="00727BED"/>
    <w:rsid w:val="00727D05"/>
    <w:rsid w:val="007314B8"/>
    <w:rsid w:val="007318CD"/>
    <w:rsid w:val="00731916"/>
    <w:rsid w:val="007345C0"/>
    <w:rsid w:val="007361D8"/>
    <w:rsid w:val="00740A13"/>
    <w:rsid w:val="00743607"/>
    <w:rsid w:val="00746FEF"/>
    <w:rsid w:val="00750BD2"/>
    <w:rsid w:val="00750EA6"/>
    <w:rsid w:val="0075319C"/>
    <w:rsid w:val="0075620E"/>
    <w:rsid w:val="007568B3"/>
    <w:rsid w:val="007569FF"/>
    <w:rsid w:val="0075787A"/>
    <w:rsid w:val="00757BBA"/>
    <w:rsid w:val="00770915"/>
    <w:rsid w:val="007714AB"/>
    <w:rsid w:val="007715F9"/>
    <w:rsid w:val="0077647C"/>
    <w:rsid w:val="00776D1C"/>
    <w:rsid w:val="00780E93"/>
    <w:rsid w:val="00783577"/>
    <w:rsid w:val="00783BCF"/>
    <w:rsid w:val="0078406E"/>
    <w:rsid w:val="007853C8"/>
    <w:rsid w:val="00786423"/>
    <w:rsid w:val="007910C5"/>
    <w:rsid w:val="00792CDA"/>
    <w:rsid w:val="007937A4"/>
    <w:rsid w:val="00793D65"/>
    <w:rsid w:val="00793DE2"/>
    <w:rsid w:val="007956A3"/>
    <w:rsid w:val="007A0020"/>
    <w:rsid w:val="007A04F0"/>
    <w:rsid w:val="007A1510"/>
    <w:rsid w:val="007A2A4E"/>
    <w:rsid w:val="007A40CC"/>
    <w:rsid w:val="007A53C5"/>
    <w:rsid w:val="007A7CF9"/>
    <w:rsid w:val="007B0EE7"/>
    <w:rsid w:val="007B11A1"/>
    <w:rsid w:val="007B4DA5"/>
    <w:rsid w:val="007B5F92"/>
    <w:rsid w:val="007B78F9"/>
    <w:rsid w:val="007C1D4A"/>
    <w:rsid w:val="007C2457"/>
    <w:rsid w:val="007C3284"/>
    <w:rsid w:val="007C475A"/>
    <w:rsid w:val="007C4EE4"/>
    <w:rsid w:val="007C5E87"/>
    <w:rsid w:val="007C6508"/>
    <w:rsid w:val="007C6DC4"/>
    <w:rsid w:val="007D001C"/>
    <w:rsid w:val="007D028A"/>
    <w:rsid w:val="007D0703"/>
    <w:rsid w:val="007D2534"/>
    <w:rsid w:val="007D2F34"/>
    <w:rsid w:val="007E1B9A"/>
    <w:rsid w:val="007E1D9D"/>
    <w:rsid w:val="007E4298"/>
    <w:rsid w:val="007E4EF0"/>
    <w:rsid w:val="007E5413"/>
    <w:rsid w:val="007E6951"/>
    <w:rsid w:val="007E6B9F"/>
    <w:rsid w:val="007F28F3"/>
    <w:rsid w:val="007F3792"/>
    <w:rsid w:val="007F50DB"/>
    <w:rsid w:val="007F68BB"/>
    <w:rsid w:val="007F751C"/>
    <w:rsid w:val="007F79A5"/>
    <w:rsid w:val="00800AD2"/>
    <w:rsid w:val="00802AFC"/>
    <w:rsid w:val="00803BF0"/>
    <w:rsid w:val="00804916"/>
    <w:rsid w:val="008059ED"/>
    <w:rsid w:val="0080624A"/>
    <w:rsid w:val="008077D7"/>
    <w:rsid w:val="00810E44"/>
    <w:rsid w:val="008112CD"/>
    <w:rsid w:val="00811DE1"/>
    <w:rsid w:val="00812E82"/>
    <w:rsid w:val="00812ED4"/>
    <w:rsid w:val="00813C64"/>
    <w:rsid w:val="0081759E"/>
    <w:rsid w:val="00822B97"/>
    <w:rsid w:val="00823012"/>
    <w:rsid w:val="008242B6"/>
    <w:rsid w:val="00824D76"/>
    <w:rsid w:val="008268B8"/>
    <w:rsid w:val="00826A8E"/>
    <w:rsid w:val="00827541"/>
    <w:rsid w:val="008304B4"/>
    <w:rsid w:val="00831AE0"/>
    <w:rsid w:val="00832CEA"/>
    <w:rsid w:val="008331E7"/>
    <w:rsid w:val="008336DB"/>
    <w:rsid w:val="00840587"/>
    <w:rsid w:val="0084101C"/>
    <w:rsid w:val="00843379"/>
    <w:rsid w:val="008435DC"/>
    <w:rsid w:val="008441EC"/>
    <w:rsid w:val="00844B9D"/>
    <w:rsid w:val="00844E79"/>
    <w:rsid w:val="00845B34"/>
    <w:rsid w:val="00847B54"/>
    <w:rsid w:val="008509CF"/>
    <w:rsid w:val="0085172E"/>
    <w:rsid w:val="008554F4"/>
    <w:rsid w:val="00855B8C"/>
    <w:rsid w:val="00855D23"/>
    <w:rsid w:val="00855F43"/>
    <w:rsid w:val="00860083"/>
    <w:rsid w:val="00860432"/>
    <w:rsid w:val="00860805"/>
    <w:rsid w:val="00860C06"/>
    <w:rsid w:val="00863974"/>
    <w:rsid w:val="00864166"/>
    <w:rsid w:val="00864F18"/>
    <w:rsid w:val="00870F38"/>
    <w:rsid w:val="00872E55"/>
    <w:rsid w:val="008734F6"/>
    <w:rsid w:val="008769F3"/>
    <w:rsid w:val="008775B2"/>
    <w:rsid w:val="00877D28"/>
    <w:rsid w:val="0088047E"/>
    <w:rsid w:val="008805BE"/>
    <w:rsid w:val="00882C09"/>
    <w:rsid w:val="00887ECB"/>
    <w:rsid w:val="00893755"/>
    <w:rsid w:val="00893FF6"/>
    <w:rsid w:val="008948AB"/>
    <w:rsid w:val="008960B1"/>
    <w:rsid w:val="008962CD"/>
    <w:rsid w:val="008975CA"/>
    <w:rsid w:val="00897D3C"/>
    <w:rsid w:val="008A3321"/>
    <w:rsid w:val="008B0438"/>
    <w:rsid w:val="008B0D2E"/>
    <w:rsid w:val="008B2E97"/>
    <w:rsid w:val="008B302A"/>
    <w:rsid w:val="008B5283"/>
    <w:rsid w:val="008B529B"/>
    <w:rsid w:val="008B5A41"/>
    <w:rsid w:val="008B76E4"/>
    <w:rsid w:val="008B7E5D"/>
    <w:rsid w:val="008B7FA2"/>
    <w:rsid w:val="008C0086"/>
    <w:rsid w:val="008C0921"/>
    <w:rsid w:val="008C19B3"/>
    <w:rsid w:val="008C3362"/>
    <w:rsid w:val="008C35FA"/>
    <w:rsid w:val="008C4CCA"/>
    <w:rsid w:val="008C5503"/>
    <w:rsid w:val="008C6A2C"/>
    <w:rsid w:val="008D0E66"/>
    <w:rsid w:val="008D21BC"/>
    <w:rsid w:val="008D3393"/>
    <w:rsid w:val="008D4FD3"/>
    <w:rsid w:val="008D63F4"/>
    <w:rsid w:val="008E06F4"/>
    <w:rsid w:val="008E2576"/>
    <w:rsid w:val="008E2EC6"/>
    <w:rsid w:val="008E45A7"/>
    <w:rsid w:val="008E4A57"/>
    <w:rsid w:val="008E6ADA"/>
    <w:rsid w:val="008F11C2"/>
    <w:rsid w:val="008F141A"/>
    <w:rsid w:val="008F23BF"/>
    <w:rsid w:val="008F3E25"/>
    <w:rsid w:val="008F4471"/>
    <w:rsid w:val="008F449C"/>
    <w:rsid w:val="008F4560"/>
    <w:rsid w:val="008F4F2F"/>
    <w:rsid w:val="00904D46"/>
    <w:rsid w:val="0090567C"/>
    <w:rsid w:val="0090596A"/>
    <w:rsid w:val="00907C6F"/>
    <w:rsid w:val="00910CC0"/>
    <w:rsid w:val="0091119B"/>
    <w:rsid w:val="00916371"/>
    <w:rsid w:val="00917B60"/>
    <w:rsid w:val="009206C0"/>
    <w:rsid w:val="009215F5"/>
    <w:rsid w:val="00923ACC"/>
    <w:rsid w:val="009267A0"/>
    <w:rsid w:val="009277AA"/>
    <w:rsid w:val="0092790C"/>
    <w:rsid w:val="00927AE7"/>
    <w:rsid w:val="00927F49"/>
    <w:rsid w:val="00932777"/>
    <w:rsid w:val="0093726D"/>
    <w:rsid w:val="00941929"/>
    <w:rsid w:val="00941FCF"/>
    <w:rsid w:val="009432C2"/>
    <w:rsid w:val="0094384C"/>
    <w:rsid w:val="0094591C"/>
    <w:rsid w:val="009477E0"/>
    <w:rsid w:val="0095150F"/>
    <w:rsid w:val="00951B95"/>
    <w:rsid w:val="009525BF"/>
    <w:rsid w:val="00954F10"/>
    <w:rsid w:val="00955F0D"/>
    <w:rsid w:val="00957001"/>
    <w:rsid w:val="00957245"/>
    <w:rsid w:val="009607CC"/>
    <w:rsid w:val="009608B9"/>
    <w:rsid w:val="00960B75"/>
    <w:rsid w:val="00961F34"/>
    <w:rsid w:val="009623D5"/>
    <w:rsid w:val="00964BA6"/>
    <w:rsid w:val="009651B9"/>
    <w:rsid w:val="009655EA"/>
    <w:rsid w:val="00965AC0"/>
    <w:rsid w:val="00967507"/>
    <w:rsid w:val="00967C67"/>
    <w:rsid w:val="00970817"/>
    <w:rsid w:val="00971372"/>
    <w:rsid w:val="0097197B"/>
    <w:rsid w:val="00972D0E"/>
    <w:rsid w:val="00972FC5"/>
    <w:rsid w:val="0097303C"/>
    <w:rsid w:val="009759D2"/>
    <w:rsid w:val="009772B1"/>
    <w:rsid w:val="00977A93"/>
    <w:rsid w:val="0098428F"/>
    <w:rsid w:val="0098730F"/>
    <w:rsid w:val="009936FA"/>
    <w:rsid w:val="009A2492"/>
    <w:rsid w:val="009A5CDF"/>
    <w:rsid w:val="009A7D28"/>
    <w:rsid w:val="009B0DB0"/>
    <w:rsid w:val="009B3779"/>
    <w:rsid w:val="009B3B2D"/>
    <w:rsid w:val="009C1EA1"/>
    <w:rsid w:val="009C390D"/>
    <w:rsid w:val="009C3CF0"/>
    <w:rsid w:val="009C5698"/>
    <w:rsid w:val="009C5C5C"/>
    <w:rsid w:val="009C7832"/>
    <w:rsid w:val="009D04EE"/>
    <w:rsid w:val="009D2D81"/>
    <w:rsid w:val="009D5063"/>
    <w:rsid w:val="009D52FB"/>
    <w:rsid w:val="009E0F10"/>
    <w:rsid w:val="009E3BDC"/>
    <w:rsid w:val="009E41D4"/>
    <w:rsid w:val="009E5BB5"/>
    <w:rsid w:val="009E68A2"/>
    <w:rsid w:val="009E6B1E"/>
    <w:rsid w:val="009F1075"/>
    <w:rsid w:val="009F3C10"/>
    <w:rsid w:val="009F40A2"/>
    <w:rsid w:val="009F7379"/>
    <w:rsid w:val="009F7E6A"/>
    <w:rsid w:val="00A00739"/>
    <w:rsid w:val="00A02379"/>
    <w:rsid w:val="00A04F7D"/>
    <w:rsid w:val="00A06030"/>
    <w:rsid w:val="00A0661B"/>
    <w:rsid w:val="00A0693F"/>
    <w:rsid w:val="00A06D37"/>
    <w:rsid w:val="00A10E71"/>
    <w:rsid w:val="00A13C3E"/>
    <w:rsid w:val="00A1618A"/>
    <w:rsid w:val="00A16FB6"/>
    <w:rsid w:val="00A1746D"/>
    <w:rsid w:val="00A17A92"/>
    <w:rsid w:val="00A21379"/>
    <w:rsid w:val="00A21EB6"/>
    <w:rsid w:val="00A23743"/>
    <w:rsid w:val="00A252C0"/>
    <w:rsid w:val="00A259CD"/>
    <w:rsid w:val="00A27792"/>
    <w:rsid w:val="00A27EB0"/>
    <w:rsid w:val="00A3078F"/>
    <w:rsid w:val="00A31E1D"/>
    <w:rsid w:val="00A3250E"/>
    <w:rsid w:val="00A34769"/>
    <w:rsid w:val="00A34F1D"/>
    <w:rsid w:val="00A355D5"/>
    <w:rsid w:val="00A35771"/>
    <w:rsid w:val="00A40B1E"/>
    <w:rsid w:val="00A412F9"/>
    <w:rsid w:val="00A42436"/>
    <w:rsid w:val="00A4365B"/>
    <w:rsid w:val="00A43D27"/>
    <w:rsid w:val="00A4739C"/>
    <w:rsid w:val="00A50218"/>
    <w:rsid w:val="00A50AEA"/>
    <w:rsid w:val="00A50E3A"/>
    <w:rsid w:val="00A54BF7"/>
    <w:rsid w:val="00A557E5"/>
    <w:rsid w:val="00A575EF"/>
    <w:rsid w:val="00A6212F"/>
    <w:rsid w:val="00A6486B"/>
    <w:rsid w:val="00A677C2"/>
    <w:rsid w:val="00A703A3"/>
    <w:rsid w:val="00A70404"/>
    <w:rsid w:val="00A72C8E"/>
    <w:rsid w:val="00A730AE"/>
    <w:rsid w:val="00A75432"/>
    <w:rsid w:val="00A77453"/>
    <w:rsid w:val="00A77940"/>
    <w:rsid w:val="00A77D2E"/>
    <w:rsid w:val="00A81A21"/>
    <w:rsid w:val="00A82755"/>
    <w:rsid w:val="00A853A8"/>
    <w:rsid w:val="00A85DF8"/>
    <w:rsid w:val="00A87B54"/>
    <w:rsid w:val="00A91BDF"/>
    <w:rsid w:val="00A924E3"/>
    <w:rsid w:val="00A94A7E"/>
    <w:rsid w:val="00AA002E"/>
    <w:rsid w:val="00AA0E56"/>
    <w:rsid w:val="00AA1941"/>
    <w:rsid w:val="00AA1CC1"/>
    <w:rsid w:val="00AA21F2"/>
    <w:rsid w:val="00AA6C70"/>
    <w:rsid w:val="00AA6DD6"/>
    <w:rsid w:val="00AA706A"/>
    <w:rsid w:val="00AA7F7A"/>
    <w:rsid w:val="00AB223B"/>
    <w:rsid w:val="00AB3270"/>
    <w:rsid w:val="00AB5390"/>
    <w:rsid w:val="00AB57B8"/>
    <w:rsid w:val="00AB5E9B"/>
    <w:rsid w:val="00AB61B0"/>
    <w:rsid w:val="00AB7079"/>
    <w:rsid w:val="00AB7D35"/>
    <w:rsid w:val="00AC0913"/>
    <w:rsid w:val="00AC6266"/>
    <w:rsid w:val="00AC659C"/>
    <w:rsid w:val="00AD0FC8"/>
    <w:rsid w:val="00AD2DDB"/>
    <w:rsid w:val="00AD2EBC"/>
    <w:rsid w:val="00AD2F12"/>
    <w:rsid w:val="00AD31AB"/>
    <w:rsid w:val="00AD3613"/>
    <w:rsid w:val="00AD3F1B"/>
    <w:rsid w:val="00AD4074"/>
    <w:rsid w:val="00AD490E"/>
    <w:rsid w:val="00AD7616"/>
    <w:rsid w:val="00AD7632"/>
    <w:rsid w:val="00AE1B1A"/>
    <w:rsid w:val="00AE3832"/>
    <w:rsid w:val="00AE3ACF"/>
    <w:rsid w:val="00AE44BF"/>
    <w:rsid w:val="00AE4811"/>
    <w:rsid w:val="00AE52AD"/>
    <w:rsid w:val="00AE5770"/>
    <w:rsid w:val="00AE65AA"/>
    <w:rsid w:val="00AF328D"/>
    <w:rsid w:val="00AF3A4C"/>
    <w:rsid w:val="00AF3F13"/>
    <w:rsid w:val="00AF42A3"/>
    <w:rsid w:val="00AF4734"/>
    <w:rsid w:val="00AF509A"/>
    <w:rsid w:val="00AF54A5"/>
    <w:rsid w:val="00AF5842"/>
    <w:rsid w:val="00AF7BC5"/>
    <w:rsid w:val="00AF7D4E"/>
    <w:rsid w:val="00B004BC"/>
    <w:rsid w:val="00B00D85"/>
    <w:rsid w:val="00B00EEE"/>
    <w:rsid w:val="00B01873"/>
    <w:rsid w:val="00B01F9C"/>
    <w:rsid w:val="00B0200E"/>
    <w:rsid w:val="00B03948"/>
    <w:rsid w:val="00B06AA7"/>
    <w:rsid w:val="00B079FE"/>
    <w:rsid w:val="00B13578"/>
    <w:rsid w:val="00B16782"/>
    <w:rsid w:val="00B17BF9"/>
    <w:rsid w:val="00B217DE"/>
    <w:rsid w:val="00B23A0F"/>
    <w:rsid w:val="00B2533F"/>
    <w:rsid w:val="00B26AE6"/>
    <w:rsid w:val="00B270AE"/>
    <w:rsid w:val="00B30FE1"/>
    <w:rsid w:val="00B317D6"/>
    <w:rsid w:val="00B35C53"/>
    <w:rsid w:val="00B403A4"/>
    <w:rsid w:val="00B405D5"/>
    <w:rsid w:val="00B41091"/>
    <w:rsid w:val="00B422BD"/>
    <w:rsid w:val="00B42767"/>
    <w:rsid w:val="00B42845"/>
    <w:rsid w:val="00B45E90"/>
    <w:rsid w:val="00B470CA"/>
    <w:rsid w:val="00B47118"/>
    <w:rsid w:val="00B5047D"/>
    <w:rsid w:val="00B505A1"/>
    <w:rsid w:val="00B51003"/>
    <w:rsid w:val="00B5174A"/>
    <w:rsid w:val="00B52C61"/>
    <w:rsid w:val="00B536A3"/>
    <w:rsid w:val="00B53BE2"/>
    <w:rsid w:val="00B55A71"/>
    <w:rsid w:val="00B56147"/>
    <w:rsid w:val="00B56E6C"/>
    <w:rsid w:val="00B570C5"/>
    <w:rsid w:val="00B5720E"/>
    <w:rsid w:val="00B61875"/>
    <w:rsid w:val="00B61EA4"/>
    <w:rsid w:val="00B636FB"/>
    <w:rsid w:val="00B63B24"/>
    <w:rsid w:val="00B64F7B"/>
    <w:rsid w:val="00B651F0"/>
    <w:rsid w:val="00B6695C"/>
    <w:rsid w:val="00B678C3"/>
    <w:rsid w:val="00B67BC3"/>
    <w:rsid w:val="00B70542"/>
    <w:rsid w:val="00B71B09"/>
    <w:rsid w:val="00B729FE"/>
    <w:rsid w:val="00B747E9"/>
    <w:rsid w:val="00B74C7E"/>
    <w:rsid w:val="00B7500A"/>
    <w:rsid w:val="00B757DB"/>
    <w:rsid w:val="00B75913"/>
    <w:rsid w:val="00B77737"/>
    <w:rsid w:val="00B800A4"/>
    <w:rsid w:val="00B817CE"/>
    <w:rsid w:val="00B832AE"/>
    <w:rsid w:val="00B83C09"/>
    <w:rsid w:val="00B85EB4"/>
    <w:rsid w:val="00B87767"/>
    <w:rsid w:val="00B907EA"/>
    <w:rsid w:val="00B90E5B"/>
    <w:rsid w:val="00B91191"/>
    <w:rsid w:val="00B9148F"/>
    <w:rsid w:val="00B92E21"/>
    <w:rsid w:val="00B942AF"/>
    <w:rsid w:val="00B94806"/>
    <w:rsid w:val="00B94AC3"/>
    <w:rsid w:val="00B953C1"/>
    <w:rsid w:val="00B960D8"/>
    <w:rsid w:val="00B9660C"/>
    <w:rsid w:val="00B96BFD"/>
    <w:rsid w:val="00BA0045"/>
    <w:rsid w:val="00BA2EA7"/>
    <w:rsid w:val="00BA4201"/>
    <w:rsid w:val="00BA7206"/>
    <w:rsid w:val="00BA7824"/>
    <w:rsid w:val="00BB0EB5"/>
    <w:rsid w:val="00BB1841"/>
    <w:rsid w:val="00BB1F7E"/>
    <w:rsid w:val="00BB29E4"/>
    <w:rsid w:val="00BB5ED5"/>
    <w:rsid w:val="00BB5F6E"/>
    <w:rsid w:val="00BB6DFC"/>
    <w:rsid w:val="00BB7736"/>
    <w:rsid w:val="00BC1C61"/>
    <w:rsid w:val="00BC2422"/>
    <w:rsid w:val="00BC3214"/>
    <w:rsid w:val="00BC3813"/>
    <w:rsid w:val="00BC3BDA"/>
    <w:rsid w:val="00BC4483"/>
    <w:rsid w:val="00BC7105"/>
    <w:rsid w:val="00BD0F1B"/>
    <w:rsid w:val="00BD1315"/>
    <w:rsid w:val="00BD24C8"/>
    <w:rsid w:val="00BD3992"/>
    <w:rsid w:val="00BE02B6"/>
    <w:rsid w:val="00BE0A7C"/>
    <w:rsid w:val="00BE298F"/>
    <w:rsid w:val="00BE30C5"/>
    <w:rsid w:val="00BE436D"/>
    <w:rsid w:val="00BE725E"/>
    <w:rsid w:val="00BF02BD"/>
    <w:rsid w:val="00BF6319"/>
    <w:rsid w:val="00BF78B5"/>
    <w:rsid w:val="00C0156C"/>
    <w:rsid w:val="00C02477"/>
    <w:rsid w:val="00C04535"/>
    <w:rsid w:val="00C0574A"/>
    <w:rsid w:val="00C06971"/>
    <w:rsid w:val="00C10DAD"/>
    <w:rsid w:val="00C11B1A"/>
    <w:rsid w:val="00C13260"/>
    <w:rsid w:val="00C16B3D"/>
    <w:rsid w:val="00C17070"/>
    <w:rsid w:val="00C20742"/>
    <w:rsid w:val="00C208D5"/>
    <w:rsid w:val="00C20F47"/>
    <w:rsid w:val="00C21791"/>
    <w:rsid w:val="00C22C00"/>
    <w:rsid w:val="00C23224"/>
    <w:rsid w:val="00C23E5D"/>
    <w:rsid w:val="00C24CB1"/>
    <w:rsid w:val="00C25453"/>
    <w:rsid w:val="00C2603C"/>
    <w:rsid w:val="00C261CC"/>
    <w:rsid w:val="00C26E78"/>
    <w:rsid w:val="00C3004C"/>
    <w:rsid w:val="00C30DCE"/>
    <w:rsid w:val="00C32FAB"/>
    <w:rsid w:val="00C3370A"/>
    <w:rsid w:val="00C33E6F"/>
    <w:rsid w:val="00C3464E"/>
    <w:rsid w:val="00C347AF"/>
    <w:rsid w:val="00C3640D"/>
    <w:rsid w:val="00C3721B"/>
    <w:rsid w:val="00C417BB"/>
    <w:rsid w:val="00C43951"/>
    <w:rsid w:val="00C4511B"/>
    <w:rsid w:val="00C4782C"/>
    <w:rsid w:val="00C51A5D"/>
    <w:rsid w:val="00C53B94"/>
    <w:rsid w:val="00C57BC1"/>
    <w:rsid w:val="00C60961"/>
    <w:rsid w:val="00C60A26"/>
    <w:rsid w:val="00C60C28"/>
    <w:rsid w:val="00C61424"/>
    <w:rsid w:val="00C61F33"/>
    <w:rsid w:val="00C6279C"/>
    <w:rsid w:val="00C6331F"/>
    <w:rsid w:val="00C63C7D"/>
    <w:rsid w:val="00C65EF4"/>
    <w:rsid w:val="00C71F41"/>
    <w:rsid w:val="00C8030D"/>
    <w:rsid w:val="00C80E9C"/>
    <w:rsid w:val="00C84C95"/>
    <w:rsid w:val="00C853E5"/>
    <w:rsid w:val="00C85F3C"/>
    <w:rsid w:val="00C87997"/>
    <w:rsid w:val="00C92AA9"/>
    <w:rsid w:val="00C92CE8"/>
    <w:rsid w:val="00C92D65"/>
    <w:rsid w:val="00C9338E"/>
    <w:rsid w:val="00C93F4B"/>
    <w:rsid w:val="00C950E5"/>
    <w:rsid w:val="00C963E5"/>
    <w:rsid w:val="00CA21A9"/>
    <w:rsid w:val="00CA22C0"/>
    <w:rsid w:val="00CA7C75"/>
    <w:rsid w:val="00CB0A3C"/>
    <w:rsid w:val="00CB0AAD"/>
    <w:rsid w:val="00CB0EF9"/>
    <w:rsid w:val="00CB1A7C"/>
    <w:rsid w:val="00CB328F"/>
    <w:rsid w:val="00CB3A5A"/>
    <w:rsid w:val="00CB40A5"/>
    <w:rsid w:val="00CB4370"/>
    <w:rsid w:val="00CB43CE"/>
    <w:rsid w:val="00CB4785"/>
    <w:rsid w:val="00CB6333"/>
    <w:rsid w:val="00CB6488"/>
    <w:rsid w:val="00CB6612"/>
    <w:rsid w:val="00CB7313"/>
    <w:rsid w:val="00CC17BE"/>
    <w:rsid w:val="00CC479F"/>
    <w:rsid w:val="00CC4D10"/>
    <w:rsid w:val="00CC4E9D"/>
    <w:rsid w:val="00CC51F2"/>
    <w:rsid w:val="00CC71ED"/>
    <w:rsid w:val="00CC736C"/>
    <w:rsid w:val="00CD0056"/>
    <w:rsid w:val="00CD0A31"/>
    <w:rsid w:val="00CD5E7D"/>
    <w:rsid w:val="00CE069C"/>
    <w:rsid w:val="00CE0BC0"/>
    <w:rsid w:val="00CE1CC4"/>
    <w:rsid w:val="00CE1E99"/>
    <w:rsid w:val="00CE2D26"/>
    <w:rsid w:val="00CE2F7A"/>
    <w:rsid w:val="00CE6A74"/>
    <w:rsid w:val="00CE6FDB"/>
    <w:rsid w:val="00CE74D4"/>
    <w:rsid w:val="00CF0239"/>
    <w:rsid w:val="00CF08C1"/>
    <w:rsid w:val="00CF1745"/>
    <w:rsid w:val="00CF2393"/>
    <w:rsid w:val="00CF5DB8"/>
    <w:rsid w:val="00CF7880"/>
    <w:rsid w:val="00CF7D4F"/>
    <w:rsid w:val="00D01A9D"/>
    <w:rsid w:val="00D0207D"/>
    <w:rsid w:val="00D06773"/>
    <w:rsid w:val="00D14833"/>
    <w:rsid w:val="00D15F9A"/>
    <w:rsid w:val="00D17688"/>
    <w:rsid w:val="00D1788E"/>
    <w:rsid w:val="00D20E16"/>
    <w:rsid w:val="00D21551"/>
    <w:rsid w:val="00D22034"/>
    <w:rsid w:val="00D26450"/>
    <w:rsid w:val="00D269D3"/>
    <w:rsid w:val="00D279C9"/>
    <w:rsid w:val="00D30C26"/>
    <w:rsid w:val="00D314C6"/>
    <w:rsid w:val="00D32C13"/>
    <w:rsid w:val="00D3396F"/>
    <w:rsid w:val="00D344A2"/>
    <w:rsid w:val="00D345D0"/>
    <w:rsid w:val="00D353F6"/>
    <w:rsid w:val="00D35881"/>
    <w:rsid w:val="00D35C1A"/>
    <w:rsid w:val="00D35E5C"/>
    <w:rsid w:val="00D42A35"/>
    <w:rsid w:val="00D43459"/>
    <w:rsid w:val="00D443C7"/>
    <w:rsid w:val="00D50601"/>
    <w:rsid w:val="00D50DFA"/>
    <w:rsid w:val="00D513A9"/>
    <w:rsid w:val="00D51B78"/>
    <w:rsid w:val="00D53E02"/>
    <w:rsid w:val="00D53ED4"/>
    <w:rsid w:val="00D5492A"/>
    <w:rsid w:val="00D56C0C"/>
    <w:rsid w:val="00D5789E"/>
    <w:rsid w:val="00D57ECA"/>
    <w:rsid w:val="00D6004C"/>
    <w:rsid w:val="00D60586"/>
    <w:rsid w:val="00D616C6"/>
    <w:rsid w:val="00D63DCD"/>
    <w:rsid w:val="00D64815"/>
    <w:rsid w:val="00D648AF"/>
    <w:rsid w:val="00D64C36"/>
    <w:rsid w:val="00D6693D"/>
    <w:rsid w:val="00D6751C"/>
    <w:rsid w:val="00D702F4"/>
    <w:rsid w:val="00D72343"/>
    <w:rsid w:val="00D74A0B"/>
    <w:rsid w:val="00D74AF9"/>
    <w:rsid w:val="00D7650B"/>
    <w:rsid w:val="00D765B5"/>
    <w:rsid w:val="00D80B86"/>
    <w:rsid w:val="00D80CD1"/>
    <w:rsid w:val="00D82666"/>
    <w:rsid w:val="00D82753"/>
    <w:rsid w:val="00D83867"/>
    <w:rsid w:val="00D83BF7"/>
    <w:rsid w:val="00D91F46"/>
    <w:rsid w:val="00D93558"/>
    <w:rsid w:val="00D93763"/>
    <w:rsid w:val="00D93EBF"/>
    <w:rsid w:val="00D94F6D"/>
    <w:rsid w:val="00D95251"/>
    <w:rsid w:val="00D95D83"/>
    <w:rsid w:val="00D96446"/>
    <w:rsid w:val="00DA01CC"/>
    <w:rsid w:val="00DA3596"/>
    <w:rsid w:val="00DA37F7"/>
    <w:rsid w:val="00DA3F88"/>
    <w:rsid w:val="00DA5465"/>
    <w:rsid w:val="00DA55BC"/>
    <w:rsid w:val="00DA714D"/>
    <w:rsid w:val="00DA7CD2"/>
    <w:rsid w:val="00DB2E99"/>
    <w:rsid w:val="00DB365F"/>
    <w:rsid w:val="00DB5CC2"/>
    <w:rsid w:val="00DC1B52"/>
    <w:rsid w:val="00DC3B3D"/>
    <w:rsid w:val="00DC4920"/>
    <w:rsid w:val="00DC50B9"/>
    <w:rsid w:val="00DC7768"/>
    <w:rsid w:val="00DD1654"/>
    <w:rsid w:val="00DD207D"/>
    <w:rsid w:val="00DD3E1C"/>
    <w:rsid w:val="00DD48BD"/>
    <w:rsid w:val="00DD4BF4"/>
    <w:rsid w:val="00DD52E7"/>
    <w:rsid w:val="00DD579A"/>
    <w:rsid w:val="00DD59C0"/>
    <w:rsid w:val="00DD5A61"/>
    <w:rsid w:val="00DD683C"/>
    <w:rsid w:val="00DD6875"/>
    <w:rsid w:val="00DD7DDE"/>
    <w:rsid w:val="00DE00BB"/>
    <w:rsid w:val="00DE11BE"/>
    <w:rsid w:val="00DE1353"/>
    <w:rsid w:val="00DE392D"/>
    <w:rsid w:val="00DE458E"/>
    <w:rsid w:val="00DE49CF"/>
    <w:rsid w:val="00DE5801"/>
    <w:rsid w:val="00DE6217"/>
    <w:rsid w:val="00DE790F"/>
    <w:rsid w:val="00DE7A27"/>
    <w:rsid w:val="00DE7B01"/>
    <w:rsid w:val="00DF2EF1"/>
    <w:rsid w:val="00E0092B"/>
    <w:rsid w:val="00E07516"/>
    <w:rsid w:val="00E078F9"/>
    <w:rsid w:val="00E07D12"/>
    <w:rsid w:val="00E10229"/>
    <w:rsid w:val="00E10B64"/>
    <w:rsid w:val="00E11C57"/>
    <w:rsid w:val="00E123AE"/>
    <w:rsid w:val="00E15EC4"/>
    <w:rsid w:val="00E16876"/>
    <w:rsid w:val="00E17118"/>
    <w:rsid w:val="00E17296"/>
    <w:rsid w:val="00E21667"/>
    <w:rsid w:val="00E22E03"/>
    <w:rsid w:val="00E2433B"/>
    <w:rsid w:val="00E244A9"/>
    <w:rsid w:val="00E2600E"/>
    <w:rsid w:val="00E26632"/>
    <w:rsid w:val="00E26C57"/>
    <w:rsid w:val="00E311C3"/>
    <w:rsid w:val="00E31A90"/>
    <w:rsid w:val="00E3279D"/>
    <w:rsid w:val="00E34FBC"/>
    <w:rsid w:val="00E3602C"/>
    <w:rsid w:val="00E361D5"/>
    <w:rsid w:val="00E3714F"/>
    <w:rsid w:val="00E40E5A"/>
    <w:rsid w:val="00E41986"/>
    <w:rsid w:val="00E4227D"/>
    <w:rsid w:val="00E42D3A"/>
    <w:rsid w:val="00E43A6E"/>
    <w:rsid w:val="00E44833"/>
    <w:rsid w:val="00E44D85"/>
    <w:rsid w:val="00E477D0"/>
    <w:rsid w:val="00E512C3"/>
    <w:rsid w:val="00E538B2"/>
    <w:rsid w:val="00E62B8A"/>
    <w:rsid w:val="00E64384"/>
    <w:rsid w:val="00E644E0"/>
    <w:rsid w:val="00E6489B"/>
    <w:rsid w:val="00E64DA5"/>
    <w:rsid w:val="00E67620"/>
    <w:rsid w:val="00E738E5"/>
    <w:rsid w:val="00E76E75"/>
    <w:rsid w:val="00E772EA"/>
    <w:rsid w:val="00E77B48"/>
    <w:rsid w:val="00E819FE"/>
    <w:rsid w:val="00E83574"/>
    <w:rsid w:val="00E86482"/>
    <w:rsid w:val="00E87780"/>
    <w:rsid w:val="00E9155A"/>
    <w:rsid w:val="00E936AC"/>
    <w:rsid w:val="00EA14B1"/>
    <w:rsid w:val="00EA16CA"/>
    <w:rsid w:val="00EA5426"/>
    <w:rsid w:val="00EA7D7B"/>
    <w:rsid w:val="00EB02FA"/>
    <w:rsid w:val="00EB0C90"/>
    <w:rsid w:val="00EB0FB9"/>
    <w:rsid w:val="00EB0FFB"/>
    <w:rsid w:val="00EB1662"/>
    <w:rsid w:val="00EB4008"/>
    <w:rsid w:val="00EB6180"/>
    <w:rsid w:val="00EB6BE7"/>
    <w:rsid w:val="00EC0067"/>
    <w:rsid w:val="00EC1020"/>
    <w:rsid w:val="00EC1067"/>
    <w:rsid w:val="00EC10FB"/>
    <w:rsid w:val="00EC3CD0"/>
    <w:rsid w:val="00EC4288"/>
    <w:rsid w:val="00EC5DF1"/>
    <w:rsid w:val="00ED1A2C"/>
    <w:rsid w:val="00ED28B4"/>
    <w:rsid w:val="00ED2B73"/>
    <w:rsid w:val="00ED4F8B"/>
    <w:rsid w:val="00ED6531"/>
    <w:rsid w:val="00ED70CC"/>
    <w:rsid w:val="00ED76DB"/>
    <w:rsid w:val="00EE21F1"/>
    <w:rsid w:val="00EE28EC"/>
    <w:rsid w:val="00EE585B"/>
    <w:rsid w:val="00EE6BD8"/>
    <w:rsid w:val="00EE7052"/>
    <w:rsid w:val="00EF0673"/>
    <w:rsid w:val="00EF0678"/>
    <w:rsid w:val="00EF4EC0"/>
    <w:rsid w:val="00EF50D1"/>
    <w:rsid w:val="00EF5E14"/>
    <w:rsid w:val="00EF7288"/>
    <w:rsid w:val="00F01C24"/>
    <w:rsid w:val="00F04F62"/>
    <w:rsid w:val="00F0645D"/>
    <w:rsid w:val="00F06FD2"/>
    <w:rsid w:val="00F070F8"/>
    <w:rsid w:val="00F072D4"/>
    <w:rsid w:val="00F1122F"/>
    <w:rsid w:val="00F12BEA"/>
    <w:rsid w:val="00F14169"/>
    <w:rsid w:val="00F17E55"/>
    <w:rsid w:val="00F20F1A"/>
    <w:rsid w:val="00F21082"/>
    <w:rsid w:val="00F24F2F"/>
    <w:rsid w:val="00F24FD0"/>
    <w:rsid w:val="00F252D0"/>
    <w:rsid w:val="00F264F2"/>
    <w:rsid w:val="00F27A0D"/>
    <w:rsid w:val="00F30B59"/>
    <w:rsid w:val="00F316EE"/>
    <w:rsid w:val="00F33082"/>
    <w:rsid w:val="00F4208D"/>
    <w:rsid w:val="00F42BCD"/>
    <w:rsid w:val="00F4400F"/>
    <w:rsid w:val="00F47C68"/>
    <w:rsid w:val="00F510CA"/>
    <w:rsid w:val="00F524B7"/>
    <w:rsid w:val="00F540BF"/>
    <w:rsid w:val="00F54135"/>
    <w:rsid w:val="00F616EF"/>
    <w:rsid w:val="00F6301B"/>
    <w:rsid w:val="00F63FFB"/>
    <w:rsid w:val="00F65C83"/>
    <w:rsid w:val="00F66EFB"/>
    <w:rsid w:val="00F6768D"/>
    <w:rsid w:val="00F71B64"/>
    <w:rsid w:val="00F71F76"/>
    <w:rsid w:val="00F72FBD"/>
    <w:rsid w:val="00F73AB2"/>
    <w:rsid w:val="00F757F7"/>
    <w:rsid w:val="00F75A29"/>
    <w:rsid w:val="00F75F7C"/>
    <w:rsid w:val="00F7672D"/>
    <w:rsid w:val="00F80DF1"/>
    <w:rsid w:val="00F821CF"/>
    <w:rsid w:val="00F83204"/>
    <w:rsid w:val="00F859A2"/>
    <w:rsid w:val="00F87B3C"/>
    <w:rsid w:val="00F931D1"/>
    <w:rsid w:val="00F94C37"/>
    <w:rsid w:val="00F971A7"/>
    <w:rsid w:val="00F97268"/>
    <w:rsid w:val="00FA0BFC"/>
    <w:rsid w:val="00FA0C8D"/>
    <w:rsid w:val="00FA0EDF"/>
    <w:rsid w:val="00FA1D1B"/>
    <w:rsid w:val="00FA2D85"/>
    <w:rsid w:val="00FA38C7"/>
    <w:rsid w:val="00FA39F8"/>
    <w:rsid w:val="00FB27D3"/>
    <w:rsid w:val="00FB4785"/>
    <w:rsid w:val="00FB5799"/>
    <w:rsid w:val="00FC043F"/>
    <w:rsid w:val="00FC0E3D"/>
    <w:rsid w:val="00FC13BA"/>
    <w:rsid w:val="00FC3213"/>
    <w:rsid w:val="00FC32CA"/>
    <w:rsid w:val="00FC4074"/>
    <w:rsid w:val="00FD26D9"/>
    <w:rsid w:val="00FD4613"/>
    <w:rsid w:val="00FD6818"/>
    <w:rsid w:val="00FD694F"/>
    <w:rsid w:val="00FE2306"/>
    <w:rsid w:val="00FE40E9"/>
    <w:rsid w:val="00FE7B5A"/>
    <w:rsid w:val="00FF1EC0"/>
    <w:rsid w:val="00FF32A2"/>
    <w:rsid w:val="00FF4C3D"/>
    <w:rsid w:val="00FF5E7F"/>
    <w:rsid w:val="00FF67F4"/>
    <w:rsid w:val="00FF773B"/>
    <w:rsid w:val="01241074"/>
    <w:rsid w:val="01F5EDBB"/>
    <w:rsid w:val="020CB39A"/>
    <w:rsid w:val="020F4232"/>
    <w:rsid w:val="0211890C"/>
    <w:rsid w:val="021607E2"/>
    <w:rsid w:val="022DA5C6"/>
    <w:rsid w:val="027FC5DB"/>
    <w:rsid w:val="033DE428"/>
    <w:rsid w:val="033EB384"/>
    <w:rsid w:val="03708E3B"/>
    <w:rsid w:val="0402FF4E"/>
    <w:rsid w:val="050FE9A3"/>
    <w:rsid w:val="0536288F"/>
    <w:rsid w:val="054452EC"/>
    <w:rsid w:val="05506FA1"/>
    <w:rsid w:val="05BFE497"/>
    <w:rsid w:val="05C20EC7"/>
    <w:rsid w:val="0681A95C"/>
    <w:rsid w:val="06A742F2"/>
    <w:rsid w:val="06DF66FD"/>
    <w:rsid w:val="06F73F58"/>
    <w:rsid w:val="07000490"/>
    <w:rsid w:val="0758CE06"/>
    <w:rsid w:val="076057CD"/>
    <w:rsid w:val="076D8DB5"/>
    <w:rsid w:val="081356D3"/>
    <w:rsid w:val="08301DD8"/>
    <w:rsid w:val="088D7C94"/>
    <w:rsid w:val="08A21D42"/>
    <w:rsid w:val="08A4C77B"/>
    <w:rsid w:val="08BE8EAE"/>
    <w:rsid w:val="08CC8015"/>
    <w:rsid w:val="0975B0FC"/>
    <w:rsid w:val="097AB4A1"/>
    <w:rsid w:val="09AABE3D"/>
    <w:rsid w:val="0B11815D"/>
    <w:rsid w:val="0B993F14"/>
    <w:rsid w:val="0C95FA61"/>
    <w:rsid w:val="0CBC5B78"/>
    <w:rsid w:val="0D5B1F04"/>
    <w:rsid w:val="0DD3C8CA"/>
    <w:rsid w:val="0DDAC41B"/>
    <w:rsid w:val="0E6287C9"/>
    <w:rsid w:val="0E9884C9"/>
    <w:rsid w:val="0EB24316"/>
    <w:rsid w:val="0F4B37A4"/>
    <w:rsid w:val="10374A65"/>
    <w:rsid w:val="10679D25"/>
    <w:rsid w:val="113ECBC6"/>
    <w:rsid w:val="116C9E29"/>
    <w:rsid w:val="11A2E19F"/>
    <w:rsid w:val="12E7129F"/>
    <w:rsid w:val="12ED8002"/>
    <w:rsid w:val="13229DBA"/>
    <w:rsid w:val="134E6BFE"/>
    <w:rsid w:val="13DD9CB7"/>
    <w:rsid w:val="13EBA9E5"/>
    <w:rsid w:val="13EF34EF"/>
    <w:rsid w:val="14344AE1"/>
    <w:rsid w:val="14BA3487"/>
    <w:rsid w:val="14BE6E1B"/>
    <w:rsid w:val="14C2784B"/>
    <w:rsid w:val="14DF6CD8"/>
    <w:rsid w:val="14E4D445"/>
    <w:rsid w:val="1542FE29"/>
    <w:rsid w:val="157E74F6"/>
    <w:rsid w:val="15B91F17"/>
    <w:rsid w:val="15BCE004"/>
    <w:rsid w:val="15F78C85"/>
    <w:rsid w:val="1614C7B7"/>
    <w:rsid w:val="16400F4C"/>
    <w:rsid w:val="165604E8"/>
    <w:rsid w:val="16736C9F"/>
    <w:rsid w:val="16B2CD27"/>
    <w:rsid w:val="16C447AE"/>
    <w:rsid w:val="16DF82A8"/>
    <w:rsid w:val="17BA1D3E"/>
    <w:rsid w:val="17E7ECDB"/>
    <w:rsid w:val="182D918F"/>
    <w:rsid w:val="185501F3"/>
    <w:rsid w:val="189B4399"/>
    <w:rsid w:val="18BC1C0B"/>
    <w:rsid w:val="18CC16CB"/>
    <w:rsid w:val="18DB5964"/>
    <w:rsid w:val="1930D040"/>
    <w:rsid w:val="19459E8D"/>
    <w:rsid w:val="199A8E39"/>
    <w:rsid w:val="199ADE80"/>
    <w:rsid w:val="1A04CFB2"/>
    <w:rsid w:val="1A3EB5BB"/>
    <w:rsid w:val="1AA2C4A4"/>
    <w:rsid w:val="1AEA5596"/>
    <w:rsid w:val="1B148742"/>
    <w:rsid w:val="1B8CBEE0"/>
    <w:rsid w:val="1BBAAC1C"/>
    <w:rsid w:val="1BBAC3B0"/>
    <w:rsid w:val="1BBFEF8E"/>
    <w:rsid w:val="1CA1150A"/>
    <w:rsid w:val="1CA325D1"/>
    <w:rsid w:val="1CA6BE38"/>
    <w:rsid w:val="1D01432C"/>
    <w:rsid w:val="1D014FD7"/>
    <w:rsid w:val="1D061A0E"/>
    <w:rsid w:val="1D572A0F"/>
    <w:rsid w:val="1DF44D5B"/>
    <w:rsid w:val="1EA91860"/>
    <w:rsid w:val="1EED2A27"/>
    <w:rsid w:val="1F273894"/>
    <w:rsid w:val="1F901DBC"/>
    <w:rsid w:val="1FAE4800"/>
    <w:rsid w:val="1FB1A1FF"/>
    <w:rsid w:val="1FC415FE"/>
    <w:rsid w:val="1FCC2BF3"/>
    <w:rsid w:val="1FEB362B"/>
    <w:rsid w:val="1FF834BE"/>
    <w:rsid w:val="1FFB5397"/>
    <w:rsid w:val="2014E280"/>
    <w:rsid w:val="20221F7F"/>
    <w:rsid w:val="202D3147"/>
    <w:rsid w:val="2061B42D"/>
    <w:rsid w:val="20839BC0"/>
    <w:rsid w:val="208A6170"/>
    <w:rsid w:val="20EA7365"/>
    <w:rsid w:val="214D07D3"/>
    <w:rsid w:val="21EB852C"/>
    <w:rsid w:val="21F02D91"/>
    <w:rsid w:val="22271F7B"/>
    <w:rsid w:val="22F220D3"/>
    <w:rsid w:val="232AD79C"/>
    <w:rsid w:val="234097E4"/>
    <w:rsid w:val="2356AA26"/>
    <w:rsid w:val="23784FEF"/>
    <w:rsid w:val="23C8662A"/>
    <w:rsid w:val="23F092D8"/>
    <w:rsid w:val="23F4CF04"/>
    <w:rsid w:val="24135C1A"/>
    <w:rsid w:val="243FDFA9"/>
    <w:rsid w:val="24556B44"/>
    <w:rsid w:val="2456465F"/>
    <w:rsid w:val="258475B3"/>
    <w:rsid w:val="25AE25A8"/>
    <w:rsid w:val="25CDFF1B"/>
    <w:rsid w:val="25FDA46B"/>
    <w:rsid w:val="268C897C"/>
    <w:rsid w:val="269A9400"/>
    <w:rsid w:val="275C990A"/>
    <w:rsid w:val="279F5DA2"/>
    <w:rsid w:val="27F05DA8"/>
    <w:rsid w:val="27FFAC1A"/>
    <w:rsid w:val="287FEF30"/>
    <w:rsid w:val="28DA163D"/>
    <w:rsid w:val="2907CBFA"/>
    <w:rsid w:val="29686A9C"/>
    <w:rsid w:val="2AFAB911"/>
    <w:rsid w:val="2AFEDC7A"/>
    <w:rsid w:val="2B58FEBC"/>
    <w:rsid w:val="2B713C34"/>
    <w:rsid w:val="2C07B078"/>
    <w:rsid w:val="2C52F365"/>
    <w:rsid w:val="2C65D8BD"/>
    <w:rsid w:val="2C6CE5EF"/>
    <w:rsid w:val="2C76FCAA"/>
    <w:rsid w:val="2C8EAF9F"/>
    <w:rsid w:val="2CB268C3"/>
    <w:rsid w:val="2CB439C3"/>
    <w:rsid w:val="2CDCCB18"/>
    <w:rsid w:val="2D02BC67"/>
    <w:rsid w:val="2D26F79E"/>
    <w:rsid w:val="2D92FF49"/>
    <w:rsid w:val="2DCB1E29"/>
    <w:rsid w:val="2DFE065F"/>
    <w:rsid w:val="2E1A6C82"/>
    <w:rsid w:val="2E688A5C"/>
    <w:rsid w:val="2EDD29C8"/>
    <w:rsid w:val="2EFCD356"/>
    <w:rsid w:val="2F34B942"/>
    <w:rsid w:val="2F41FC17"/>
    <w:rsid w:val="2F4957C1"/>
    <w:rsid w:val="2FA0407C"/>
    <w:rsid w:val="2FB79F6D"/>
    <w:rsid w:val="2FE8A7E0"/>
    <w:rsid w:val="2FEA141D"/>
    <w:rsid w:val="2FEB73BC"/>
    <w:rsid w:val="305E9860"/>
    <w:rsid w:val="30EAB131"/>
    <w:rsid w:val="311239A9"/>
    <w:rsid w:val="313E936A"/>
    <w:rsid w:val="319D3CAA"/>
    <w:rsid w:val="31BA372F"/>
    <w:rsid w:val="31C911BB"/>
    <w:rsid w:val="31DDB03B"/>
    <w:rsid w:val="31E8A5FD"/>
    <w:rsid w:val="32238D55"/>
    <w:rsid w:val="3235D4DA"/>
    <w:rsid w:val="327546BB"/>
    <w:rsid w:val="3298D089"/>
    <w:rsid w:val="32F2B487"/>
    <w:rsid w:val="33D5D33C"/>
    <w:rsid w:val="3471F26D"/>
    <w:rsid w:val="34975D08"/>
    <w:rsid w:val="34D0FE1D"/>
    <w:rsid w:val="34E654DD"/>
    <w:rsid w:val="3597D7F1"/>
    <w:rsid w:val="35B47B11"/>
    <w:rsid w:val="360A1850"/>
    <w:rsid w:val="3654C091"/>
    <w:rsid w:val="36587364"/>
    <w:rsid w:val="373E5764"/>
    <w:rsid w:val="377ED79E"/>
    <w:rsid w:val="37815007"/>
    <w:rsid w:val="3791E603"/>
    <w:rsid w:val="37B3067C"/>
    <w:rsid w:val="38145D26"/>
    <w:rsid w:val="3829DDCE"/>
    <w:rsid w:val="382A2CD1"/>
    <w:rsid w:val="386345BE"/>
    <w:rsid w:val="389B1E17"/>
    <w:rsid w:val="38E444C8"/>
    <w:rsid w:val="395A1339"/>
    <w:rsid w:val="39656CEF"/>
    <w:rsid w:val="39A8B267"/>
    <w:rsid w:val="39E23B8E"/>
    <w:rsid w:val="3A1853AC"/>
    <w:rsid w:val="3A5AE223"/>
    <w:rsid w:val="3A5B5F6B"/>
    <w:rsid w:val="3A999E5A"/>
    <w:rsid w:val="3AB0BAD5"/>
    <w:rsid w:val="3B4EA97B"/>
    <w:rsid w:val="3B5269F4"/>
    <w:rsid w:val="3B77100C"/>
    <w:rsid w:val="3C01B692"/>
    <w:rsid w:val="3CB39231"/>
    <w:rsid w:val="3CCB1D35"/>
    <w:rsid w:val="3D5E34B3"/>
    <w:rsid w:val="3DB6B1D5"/>
    <w:rsid w:val="3DB7F962"/>
    <w:rsid w:val="3E506B23"/>
    <w:rsid w:val="3E5468D9"/>
    <w:rsid w:val="3EA15BDB"/>
    <w:rsid w:val="3EB30DB5"/>
    <w:rsid w:val="3EF7B242"/>
    <w:rsid w:val="3F26E451"/>
    <w:rsid w:val="3F718C92"/>
    <w:rsid w:val="3FB3865F"/>
    <w:rsid w:val="3FD029EB"/>
    <w:rsid w:val="40ABD225"/>
    <w:rsid w:val="40F66352"/>
    <w:rsid w:val="411D2E3F"/>
    <w:rsid w:val="412B1B89"/>
    <w:rsid w:val="419F9518"/>
    <w:rsid w:val="41F2D7AF"/>
    <w:rsid w:val="42152012"/>
    <w:rsid w:val="4217ED15"/>
    <w:rsid w:val="421937CC"/>
    <w:rsid w:val="42266581"/>
    <w:rsid w:val="4255D9C5"/>
    <w:rsid w:val="42867573"/>
    <w:rsid w:val="42999E58"/>
    <w:rsid w:val="4326933A"/>
    <w:rsid w:val="433E20F6"/>
    <w:rsid w:val="4369B669"/>
    <w:rsid w:val="43A0433E"/>
    <w:rsid w:val="43B894FD"/>
    <w:rsid w:val="443917CD"/>
    <w:rsid w:val="444F8D89"/>
    <w:rsid w:val="44D4A545"/>
    <w:rsid w:val="450D8744"/>
    <w:rsid w:val="458F707B"/>
    <w:rsid w:val="45C409D0"/>
    <w:rsid w:val="45D0F298"/>
    <w:rsid w:val="45F961AD"/>
    <w:rsid w:val="46053CFE"/>
    <w:rsid w:val="461B24C1"/>
    <w:rsid w:val="4682DD2C"/>
    <w:rsid w:val="46B34265"/>
    <w:rsid w:val="46EE84CB"/>
    <w:rsid w:val="47070F4E"/>
    <w:rsid w:val="474BDA69"/>
    <w:rsid w:val="4793F8A2"/>
    <w:rsid w:val="485F8370"/>
    <w:rsid w:val="487DA3DF"/>
    <w:rsid w:val="48CEFEC3"/>
    <w:rsid w:val="4905DEC1"/>
    <w:rsid w:val="4908046E"/>
    <w:rsid w:val="49316BA3"/>
    <w:rsid w:val="494C5694"/>
    <w:rsid w:val="495AB750"/>
    <w:rsid w:val="4961C00C"/>
    <w:rsid w:val="4980E684"/>
    <w:rsid w:val="4A52A044"/>
    <w:rsid w:val="4ACF1493"/>
    <w:rsid w:val="4B12DC92"/>
    <w:rsid w:val="4B2D4F01"/>
    <w:rsid w:val="4B783715"/>
    <w:rsid w:val="4BC5C0C2"/>
    <w:rsid w:val="4BDAB960"/>
    <w:rsid w:val="4C16B17A"/>
    <w:rsid w:val="4C2DAC33"/>
    <w:rsid w:val="4C354128"/>
    <w:rsid w:val="4C4F2BDC"/>
    <w:rsid w:val="4C563498"/>
    <w:rsid w:val="4C59AB3C"/>
    <w:rsid w:val="4CD7485D"/>
    <w:rsid w:val="4CE247BF"/>
    <w:rsid w:val="4CEEF9C3"/>
    <w:rsid w:val="4D733BC2"/>
    <w:rsid w:val="4D7BB4A4"/>
    <w:rsid w:val="4D8866A8"/>
    <w:rsid w:val="4E1C6181"/>
    <w:rsid w:val="4E20D519"/>
    <w:rsid w:val="4E2B98A1"/>
    <w:rsid w:val="4E483B91"/>
    <w:rsid w:val="4E77ED33"/>
    <w:rsid w:val="4E895EAA"/>
    <w:rsid w:val="4EAB282C"/>
    <w:rsid w:val="4EABAC3B"/>
    <w:rsid w:val="4F2517EA"/>
    <w:rsid w:val="50152DBC"/>
    <w:rsid w:val="5017F9FC"/>
    <w:rsid w:val="507CC3B9"/>
    <w:rsid w:val="509648A9"/>
    <w:rsid w:val="513223B9"/>
    <w:rsid w:val="51399851"/>
    <w:rsid w:val="520DFABE"/>
    <w:rsid w:val="5222AAC2"/>
    <w:rsid w:val="52692295"/>
    <w:rsid w:val="526ADCFB"/>
    <w:rsid w:val="52B96AD3"/>
    <w:rsid w:val="52CBDEC3"/>
    <w:rsid w:val="52F16474"/>
    <w:rsid w:val="534E4EF5"/>
    <w:rsid w:val="53818E6A"/>
    <w:rsid w:val="53DD4742"/>
    <w:rsid w:val="541FDE18"/>
    <w:rsid w:val="54289804"/>
    <w:rsid w:val="54521172"/>
    <w:rsid w:val="54AD9689"/>
    <w:rsid w:val="559C8198"/>
    <w:rsid w:val="55C92CE3"/>
    <w:rsid w:val="55C930F2"/>
    <w:rsid w:val="560BBC39"/>
    <w:rsid w:val="5636C17D"/>
    <w:rsid w:val="5640D933"/>
    <w:rsid w:val="565278B1"/>
    <w:rsid w:val="56B9F0C5"/>
    <w:rsid w:val="56D9A408"/>
    <w:rsid w:val="56E77B27"/>
    <w:rsid w:val="57AAA083"/>
    <w:rsid w:val="57B33E62"/>
    <w:rsid w:val="57D0AAC0"/>
    <w:rsid w:val="58265B2C"/>
    <w:rsid w:val="59D21052"/>
    <w:rsid w:val="59EB6A69"/>
    <w:rsid w:val="5AAB7E61"/>
    <w:rsid w:val="5AD3FD86"/>
    <w:rsid w:val="5B2EAC1F"/>
    <w:rsid w:val="5B822430"/>
    <w:rsid w:val="5B95AFAD"/>
    <w:rsid w:val="5C2101DA"/>
    <w:rsid w:val="5C36F764"/>
    <w:rsid w:val="5C64C9D9"/>
    <w:rsid w:val="5D20055C"/>
    <w:rsid w:val="5D82C7C7"/>
    <w:rsid w:val="5E819380"/>
    <w:rsid w:val="5F4EDF17"/>
    <w:rsid w:val="5F94B0E1"/>
    <w:rsid w:val="5FB592F8"/>
    <w:rsid w:val="608E470A"/>
    <w:rsid w:val="60BA6889"/>
    <w:rsid w:val="60F17E84"/>
    <w:rsid w:val="61290B63"/>
    <w:rsid w:val="623BC67B"/>
    <w:rsid w:val="62520B05"/>
    <w:rsid w:val="6289C310"/>
    <w:rsid w:val="6291A503"/>
    <w:rsid w:val="62A67742"/>
    <w:rsid w:val="63199CDA"/>
    <w:rsid w:val="641EBECC"/>
    <w:rsid w:val="64399AC6"/>
    <w:rsid w:val="645D2458"/>
    <w:rsid w:val="64C86135"/>
    <w:rsid w:val="65360A96"/>
    <w:rsid w:val="65A04C87"/>
    <w:rsid w:val="66819E61"/>
    <w:rsid w:val="66A45BF9"/>
    <w:rsid w:val="66EFD063"/>
    <w:rsid w:val="674936D5"/>
    <w:rsid w:val="674E3B1F"/>
    <w:rsid w:val="68D62041"/>
    <w:rsid w:val="68DC789B"/>
    <w:rsid w:val="693D7E29"/>
    <w:rsid w:val="69BF4F28"/>
    <w:rsid w:val="69C95A40"/>
    <w:rsid w:val="69D08A9E"/>
    <w:rsid w:val="6A0E4037"/>
    <w:rsid w:val="6A379E4A"/>
    <w:rsid w:val="6A4A7A07"/>
    <w:rsid w:val="6A7F06B3"/>
    <w:rsid w:val="6A9860CA"/>
    <w:rsid w:val="6AF3ADFB"/>
    <w:rsid w:val="6C2C1C83"/>
    <w:rsid w:val="6C3892DC"/>
    <w:rsid w:val="6C4D5988"/>
    <w:rsid w:val="6C567FB7"/>
    <w:rsid w:val="6CD234A5"/>
    <w:rsid w:val="6DB13359"/>
    <w:rsid w:val="6DB17520"/>
    <w:rsid w:val="6DB97478"/>
    <w:rsid w:val="6DE3A0DA"/>
    <w:rsid w:val="6DE929E9"/>
    <w:rsid w:val="6E096911"/>
    <w:rsid w:val="6E1A3170"/>
    <w:rsid w:val="6E2768D9"/>
    <w:rsid w:val="6E6697B5"/>
    <w:rsid w:val="6F5A3BC8"/>
    <w:rsid w:val="6F95277D"/>
    <w:rsid w:val="6FBE207A"/>
    <w:rsid w:val="6FDE525F"/>
    <w:rsid w:val="6FF2F688"/>
    <w:rsid w:val="7022960F"/>
    <w:rsid w:val="702DDBE5"/>
    <w:rsid w:val="70DBF508"/>
    <w:rsid w:val="70E78A80"/>
    <w:rsid w:val="717A59AB"/>
    <w:rsid w:val="7195596A"/>
    <w:rsid w:val="722A1DB4"/>
    <w:rsid w:val="7288C580"/>
    <w:rsid w:val="72BB8825"/>
    <w:rsid w:val="72DA18A8"/>
    <w:rsid w:val="736AA77B"/>
    <w:rsid w:val="73FC95B2"/>
    <w:rsid w:val="74146526"/>
    <w:rsid w:val="7446AADA"/>
    <w:rsid w:val="74B19254"/>
    <w:rsid w:val="7516715B"/>
    <w:rsid w:val="75C0D22C"/>
    <w:rsid w:val="75F59C94"/>
    <w:rsid w:val="7618DBAC"/>
    <w:rsid w:val="761B9920"/>
    <w:rsid w:val="763A211D"/>
    <w:rsid w:val="76D0FA57"/>
    <w:rsid w:val="770789CB"/>
    <w:rsid w:val="77430098"/>
    <w:rsid w:val="77B36156"/>
    <w:rsid w:val="77EC6C63"/>
    <w:rsid w:val="78060053"/>
    <w:rsid w:val="785631DD"/>
    <w:rsid w:val="7881E09D"/>
    <w:rsid w:val="78DDA2E8"/>
    <w:rsid w:val="78FDED87"/>
    <w:rsid w:val="79238AC2"/>
    <w:rsid w:val="792D4A0D"/>
    <w:rsid w:val="79521B98"/>
    <w:rsid w:val="796A1B80"/>
    <w:rsid w:val="7984846C"/>
    <w:rsid w:val="7988E8CE"/>
    <w:rsid w:val="79ADDCE8"/>
    <w:rsid w:val="7A1C073C"/>
    <w:rsid w:val="7A3F0F4F"/>
    <w:rsid w:val="7A9EC0B8"/>
    <w:rsid w:val="7B8D562E"/>
    <w:rsid w:val="7BA0A45C"/>
    <w:rsid w:val="7BBDAA97"/>
    <w:rsid w:val="7C2980B5"/>
    <w:rsid w:val="7C43F3C9"/>
    <w:rsid w:val="7C52427B"/>
    <w:rsid w:val="7D3E17E8"/>
    <w:rsid w:val="7D44FC33"/>
    <w:rsid w:val="7D5551C0"/>
    <w:rsid w:val="7D9BC2D9"/>
    <w:rsid w:val="7DD15EAA"/>
    <w:rsid w:val="7E5AF3EA"/>
    <w:rsid w:val="7E901C69"/>
    <w:rsid w:val="7F511B8F"/>
    <w:rsid w:val="7F539735"/>
    <w:rsid w:val="7F7F5190"/>
    <w:rsid w:val="7F884012"/>
    <w:rsid w:val="7FBA6C67"/>
    <w:rsid w:val="7FD6EAD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CAF0"/>
  <w15:docId w15:val="{B00FCDE2-0232-4DFE-BA97-E7368CBA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3F7D"/>
    <w:rPr>
      <w:rFonts w:ascii="Arial" w:eastAsia="Arial" w:hAnsi="Arial" w:cs="Arial"/>
      <w:sz w:val="24"/>
      <w:lang w:val="en-AU" w:eastAsia="en-AU" w:bidi="en-AU"/>
    </w:rPr>
  </w:style>
  <w:style w:type="paragraph" w:styleId="Heading1">
    <w:name w:val="heading 1"/>
    <w:basedOn w:val="Normal"/>
    <w:link w:val="Heading1Char"/>
    <w:autoRedefine/>
    <w:uiPriority w:val="9"/>
    <w:qFormat/>
    <w:rsid w:val="008E06F4"/>
    <w:pPr>
      <w:spacing w:before="400" w:after="400"/>
      <w:outlineLvl w:val="0"/>
    </w:pPr>
    <w:rPr>
      <w:rFonts w:ascii="Rubik" w:hAnsi="Rubik"/>
      <w:b/>
      <w:bCs/>
      <w:color w:val="E57200"/>
      <w:sz w:val="50"/>
      <w:szCs w:val="18"/>
    </w:rPr>
  </w:style>
  <w:style w:type="paragraph" w:styleId="Heading2">
    <w:name w:val="heading 2"/>
    <w:basedOn w:val="Normal"/>
    <w:link w:val="Heading2Char"/>
    <w:uiPriority w:val="9"/>
    <w:qFormat/>
    <w:rsid w:val="00D82753"/>
    <w:pPr>
      <w:keepNext/>
      <w:keepLines/>
      <w:widowControl/>
      <w:spacing w:before="360" w:after="160"/>
      <w:outlineLvl w:val="1"/>
    </w:pPr>
    <w:rPr>
      <w:b/>
      <w:bCs/>
      <w:color w:val="E57200"/>
      <w:sz w:val="32"/>
      <w:szCs w:val="24"/>
    </w:rPr>
  </w:style>
  <w:style w:type="paragraph" w:styleId="Heading3">
    <w:name w:val="heading 3"/>
    <w:basedOn w:val="Normal"/>
    <w:uiPriority w:val="9"/>
    <w:qFormat/>
    <w:rsid w:val="00665E6B"/>
    <w:pPr>
      <w:spacing w:before="200" w:after="100"/>
      <w:outlineLvl w:val="2"/>
    </w:pPr>
    <w:rPr>
      <w:rFonts w:eastAsia="Calibri Light" w:cs="Calibri Light"/>
      <w:b/>
      <w:color w:val="E57200"/>
      <w:sz w:val="26"/>
      <w:u w:color="000000"/>
    </w:rPr>
  </w:style>
  <w:style w:type="paragraph" w:styleId="Heading4">
    <w:name w:val="heading 4"/>
    <w:basedOn w:val="Normal"/>
    <w:uiPriority w:val="9"/>
    <w:qFormat/>
    <w:pPr>
      <w:spacing w:before="56"/>
      <w:ind w:right="180"/>
      <w:jc w:val="right"/>
      <w:outlineLvl w:val="3"/>
    </w:pPr>
    <w:rPr>
      <w:rFonts w:ascii="Calibri Light" w:eastAsia="Calibri Light" w:hAnsi="Calibri Light" w:cs="Calibri Light"/>
      <w:i/>
    </w:rPr>
  </w:style>
  <w:style w:type="paragraph" w:styleId="Heading5">
    <w:name w:val="heading 5"/>
    <w:basedOn w:val="Normal"/>
    <w:uiPriority w:val="9"/>
    <w:qFormat/>
    <w:rsid w:val="000E697D"/>
    <w:pPr>
      <w:spacing w:before="120" w:after="120"/>
      <w:outlineLvl w:val="4"/>
    </w:pPr>
    <w:rPr>
      <w:b/>
      <w:bCs/>
      <w:szCs w:val="20"/>
    </w:rPr>
  </w:style>
  <w:style w:type="paragraph" w:styleId="Heading6">
    <w:name w:val="heading 6"/>
    <w:basedOn w:val="Normal"/>
    <w:uiPriority w:val="9"/>
    <w:qFormat/>
    <w:rsid w:val="004F7B20"/>
    <w:pPr>
      <w:spacing w:before="120" w:after="60"/>
      <w:outlineLvl w:val="5"/>
    </w:pPr>
    <w:rPr>
      <w:bCs/>
      <w:color w:val="E57200"/>
      <w:sz w:val="20"/>
      <w:szCs w:val="20"/>
    </w:rPr>
  </w:style>
  <w:style w:type="paragraph" w:styleId="Heading7">
    <w:name w:val="heading 7"/>
    <w:basedOn w:val="Normal"/>
    <w:next w:val="Normal"/>
    <w:link w:val="Heading7Char"/>
    <w:uiPriority w:val="9"/>
    <w:semiHidden/>
    <w:unhideWhenUsed/>
    <w:qFormat/>
    <w:rsid w:val="00345D31"/>
    <w:pPr>
      <w:keepNext/>
      <w:keepLines/>
      <w:widowControl/>
      <w:autoSpaceDE/>
      <w:autoSpaceDN/>
      <w:spacing w:before="40"/>
      <w:ind w:left="1296" w:hanging="1296"/>
      <w:outlineLvl w:val="6"/>
    </w:pPr>
    <w:rPr>
      <w:rFonts w:asciiTheme="majorHAnsi" w:eastAsiaTheme="majorEastAsia" w:hAnsiTheme="majorHAnsi" w:cstheme="majorBidi"/>
      <w:i/>
      <w:iCs/>
      <w:color w:val="243F60" w:themeColor="accent1" w:themeShade="7F"/>
      <w:sz w:val="22"/>
      <w:szCs w:val="24"/>
      <w:lang w:eastAsia="en-US" w:bidi="ar-SA"/>
    </w:rPr>
  </w:style>
  <w:style w:type="paragraph" w:styleId="Heading8">
    <w:name w:val="heading 8"/>
    <w:basedOn w:val="Normal"/>
    <w:next w:val="Normal"/>
    <w:link w:val="Heading8Char"/>
    <w:uiPriority w:val="9"/>
    <w:semiHidden/>
    <w:unhideWhenUsed/>
    <w:qFormat/>
    <w:rsid w:val="00345D31"/>
    <w:pPr>
      <w:keepNext/>
      <w:keepLines/>
      <w:widowControl/>
      <w:autoSpaceDE/>
      <w:autoSpaceDN/>
      <w:spacing w:before="40"/>
      <w:ind w:left="1440" w:hanging="1440"/>
      <w:outlineLvl w:val="7"/>
    </w:pPr>
    <w:rPr>
      <w:rFonts w:asciiTheme="majorHAnsi" w:eastAsiaTheme="majorEastAsia" w:hAnsiTheme="majorHAnsi" w:cstheme="majorBidi"/>
      <w:color w:val="272727" w:themeColor="text1" w:themeTint="D8"/>
      <w:sz w:val="21"/>
      <w:szCs w:val="21"/>
      <w:lang w:eastAsia="en-US" w:bidi="ar-SA"/>
    </w:rPr>
  </w:style>
  <w:style w:type="paragraph" w:styleId="Heading9">
    <w:name w:val="heading 9"/>
    <w:basedOn w:val="Normal"/>
    <w:next w:val="Normal"/>
    <w:link w:val="Heading9Char"/>
    <w:uiPriority w:val="9"/>
    <w:semiHidden/>
    <w:unhideWhenUsed/>
    <w:qFormat/>
    <w:rsid w:val="00345D31"/>
    <w:pPr>
      <w:keepNext/>
      <w:keepLines/>
      <w:widowControl/>
      <w:autoSpaceDE/>
      <w:autoSpaceDN/>
      <w:spacing w:before="40"/>
      <w:ind w:left="1584" w:hanging="1584"/>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MAIN HEADINGS"/>
    <w:basedOn w:val="Normal"/>
    <w:uiPriority w:val="39"/>
    <w:qFormat/>
    <w:rsid w:val="00811DE1"/>
    <w:pPr>
      <w:spacing w:before="166"/>
      <w:ind w:left="567" w:hanging="567"/>
    </w:pPr>
    <w:rPr>
      <w:b/>
      <w:sz w:val="20"/>
      <w:szCs w:val="20"/>
    </w:rPr>
  </w:style>
  <w:style w:type="paragraph" w:styleId="TOC2">
    <w:name w:val="toc 2"/>
    <w:aliases w:val="TOC Sub headings"/>
    <w:basedOn w:val="Normal"/>
    <w:uiPriority w:val="39"/>
    <w:qFormat/>
    <w:rsid w:val="00811DE1"/>
    <w:pPr>
      <w:spacing w:before="166"/>
      <w:ind w:left="1287" w:hanging="720"/>
    </w:pPr>
    <w:rPr>
      <w:sz w:val="20"/>
      <w:szCs w:val="20"/>
    </w:rPr>
  </w:style>
  <w:style w:type="paragraph" w:styleId="BodyText">
    <w:name w:val="Body Text"/>
    <w:basedOn w:val="Normal"/>
    <w:link w:val="BodyTextChar"/>
    <w:uiPriority w:val="1"/>
    <w:rPr>
      <w:sz w:val="20"/>
      <w:szCs w:val="20"/>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pPr>
      <w:spacing w:before="93"/>
      <w:ind w:left="1005" w:hanging="360"/>
    </w:pPr>
  </w:style>
  <w:style w:type="paragraph" w:customStyle="1" w:styleId="TableParagraph">
    <w:name w:val="Table Paragraph"/>
    <w:basedOn w:val="Normal"/>
    <w:uiPriority w:val="1"/>
    <w:pPr>
      <w:spacing w:before="117"/>
      <w:ind w:left="107"/>
    </w:pPr>
  </w:style>
  <w:style w:type="paragraph" w:styleId="TOCHeading">
    <w:name w:val="TOC Heading"/>
    <w:basedOn w:val="Heading1"/>
    <w:next w:val="Normal"/>
    <w:uiPriority w:val="39"/>
    <w:unhideWhenUsed/>
    <w:qFormat/>
    <w:rsid w:val="00543C14"/>
    <w:pPr>
      <w:keepNext/>
      <w:keepLines/>
      <w:widowControl/>
      <w:autoSpaceDE/>
      <w:autoSpaceDN/>
      <w:spacing w:before="240" w:line="259" w:lineRule="auto"/>
      <w:outlineLvl w:val="9"/>
    </w:pPr>
    <w:rPr>
      <w:rFonts w:ascii="Arial" w:eastAsiaTheme="majorEastAsia" w:hAnsi="Arial" w:cstheme="majorBidi"/>
      <w:bCs w:val="0"/>
      <w:sz w:val="32"/>
      <w:szCs w:val="32"/>
      <w:lang w:val="en-US" w:eastAsia="en-US" w:bidi="ar-SA"/>
    </w:rPr>
  </w:style>
  <w:style w:type="paragraph" w:styleId="TOC3">
    <w:name w:val="toc 3"/>
    <w:basedOn w:val="Normal"/>
    <w:next w:val="Normal"/>
    <w:autoRedefine/>
    <w:uiPriority w:val="39"/>
    <w:unhideWhenUsed/>
    <w:rsid w:val="00D6751C"/>
    <w:pPr>
      <w:spacing w:after="100"/>
      <w:ind w:left="440"/>
    </w:pPr>
  </w:style>
  <w:style w:type="character" w:styleId="Hyperlink">
    <w:name w:val="Hyperlink"/>
    <w:basedOn w:val="DefaultParagraphFont"/>
    <w:uiPriority w:val="99"/>
    <w:unhideWhenUsed/>
    <w:rsid w:val="008960B1"/>
    <w:rPr>
      <w:color w:val="0563C1"/>
      <w:u w:val="single"/>
    </w:rPr>
  </w:style>
  <w:style w:type="paragraph" w:styleId="Header">
    <w:name w:val="header"/>
    <w:basedOn w:val="Normal"/>
    <w:link w:val="HeaderChar"/>
    <w:uiPriority w:val="99"/>
    <w:unhideWhenUsed/>
    <w:rsid w:val="00D6751C"/>
    <w:pPr>
      <w:tabs>
        <w:tab w:val="center" w:pos="4513"/>
        <w:tab w:val="right" w:pos="9026"/>
      </w:tabs>
    </w:pPr>
  </w:style>
  <w:style w:type="character" w:customStyle="1" w:styleId="HeaderChar">
    <w:name w:val="Header Char"/>
    <w:basedOn w:val="DefaultParagraphFont"/>
    <w:link w:val="Header"/>
    <w:uiPriority w:val="99"/>
    <w:rsid w:val="00D6751C"/>
    <w:rPr>
      <w:rFonts w:ascii="Arial" w:eastAsia="Arial" w:hAnsi="Arial" w:cs="Arial"/>
      <w:lang w:val="en-AU" w:eastAsia="en-AU" w:bidi="en-AU"/>
    </w:rPr>
  </w:style>
  <w:style w:type="paragraph" w:styleId="Footer">
    <w:name w:val="footer"/>
    <w:basedOn w:val="Normal"/>
    <w:link w:val="FooterChar"/>
    <w:uiPriority w:val="99"/>
    <w:unhideWhenUsed/>
    <w:rsid w:val="00354882"/>
    <w:pPr>
      <w:tabs>
        <w:tab w:val="center" w:pos="4513"/>
        <w:tab w:val="right" w:pos="9026"/>
      </w:tabs>
      <w:jc w:val="center"/>
    </w:pPr>
    <w:rPr>
      <w:b/>
      <w:color w:val="E57200"/>
    </w:rPr>
  </w:style>
  <w:style w:type="character" w:customStyle="1" w:styleId="FooterChar">
    <w:name w:val="Footer Char"/>
    <w:basedOn w:val="DefaultParagraphFont"/>
    <w:link w:val="Footer"/>
    <w:uiPriority w:val="99"/>
    <w:rsid w:val="00354882"/>
    <w:rPr>
      <w:rFonts w:ascii="Arial" w:eastAsia="Arial" w:hAnsi="Arial" w:cs="Arial"/>
      <w:b/>
      <w:color w:val="E57200"/>
      <w:sz w:val="24"/>
      <w:lang w:val="en-AU" w:eastAsia="en-AU" w:bidi="en-AU"/>
    </w:rPr>
  </w:style>
  <w:style w:type="paragraph" w:customStyle="1" w:styleId="Style1">
    <w:name w:val="Style1"/>
    <w:basedOn w:val="Heading1"/>
    <w:link w:val="Style1Char"/>
    <w:uiPriority w:val="1"/>
    <w:rsid w:val="006A51F1"/>
    <w:pPr>
      <w:jc w:val="both"/>
    </w:pPr>
    <w:rPr>
      <w:color w:val="17365D"/>
    </w:rPr>
  </w:style>
  <w:style w:type="character" w:customStyle="1" w:styleId="BodyTextChar">
    <w:name w:val="Body Text Char"/>
    <w:basedOn w:val="DefaultParagraphFont"/>
    <w:link w:val="BodyText"/>
    <w:uiPriority w:val="1"/>
    <w:rsid w:val="006A51F1"/>
    <w:rPr>
      <w:rFonts w:ascii="Arial" w:eastAsia="Arial" w:hAnsi="Arial" w:cs="Arial"/>
      <w:sz w:val="20"/>
      <w:szCs w:val="20"/>
      <w:lang w:val="en-AU" w:eastAsia="en-AU" w:bidi="en-AU"/>
    </w:rPr>
  </w:style>
  <w:style w:type="character" w:customStyle="1" w:styleId="Heading1Char">
    <w:name w:val="Heading 1 Char"/>
    <w:basedOn w:val="DefaultParagraphFont"/>
    <w:link w:val="Heading1"/>
    <w:uiPriority w:val="9"/>
    <w:rsid w:val="008E06F4"/>
    <w:rPr>
      <w:rFonts w:ascii="Rubik" w:eastAsia="Arial" w:hAnsi="Rubik" w:cs="Arial"/>
      <w:b/>
      <w:bCs/>
      <w:color w:val="E57200"/>
      <w:sz w:val="50"/>
      <w:szCs w:val="18"/>
      <w:lang w:val="en-AU" w:eastAsia="en-AU" w:bidi="en-AU"/>
    </w:rPr>
  </w:style>
  <w:style w:type="character" w:customStyle="1" w:styleId="Style1Char">
    <w:name w:val="Style1 Char"/>
    <w:basedOn w:val="Heading1Char"/>
    <w:link w:val="Style1"/>
    <w:uiPriority w:val="1"/>
    <w:rsid w:val="006A51F1"/>
    <w:rPr>
      <w:rFonts w:ascii="Arial" w:eastAsia="Arial" w:hAnsi="Arial" w:cs="Arial"/>
      <w:b/>
      <w:bCs/>
      <w:color w:val="17365D"/>
      <w:sz w:val="28"/>
      <w:szCs w:val="28"/>
      <w:lang w:val="en-AU" w:eastAsia="en-AU" w:bidi="en-AU"/>
    </w:rPr>
  </w:style>
  <w:style w:type="paragraph" w:customStyle="1" w:styleId="Style2">
    <w:name w:val="Style2"/>
    <w:basedOn w:val="Heading2"/>
    <w:link w:val="Style2Char"/>
    <w:uiPriority w:val="1"/>
    <w:rsid w:val="00D20E16"/>
    <w:pPr>
      <w:jc w:val="both"/>
    </w:pPr>
    <w:rPr>
      <w:color w:val="17365D"/>
    </w:rPr>
  </w:style>
  <w:style w:type="character" w:customStyle="1" w:styleId="Heading2Char">
    <w:name w:val="Heading 2 Char"/>
    <w:basedOn w:val="DefaultParagraphFont"/>
    <w:link w:val="Heading2"/>
    <w:uiPriority w:val="1"/>
    <w:rsid w:val="00D82753"/>
    <w:rPr>
      <w:rFonts w:ascii="Arial" w:eastAsia="Arial" w:hAnsi="Arial" w:cs="Arial"/>
      <w:b/>
      <w:bCs/>
      <w:color w:val="E57200"/>
      <w:sz w:val="32"/>
      <w:szCs w:val="24"/>
      <w:lang w:val="en-AU" w:eastAsia="en-AU" w:bidi="en-AU"/>
    </w:rPr>
  </w:style>
  <w:style w:type="character" w:customStyle="1" w:styleId="Style2Char">
    <w:name w:val="Style2 Char"/>
    <w:basedOn w:val="Heading2Char"/>
    <w:link w:val="Style2"/>
    <w:uiPriority w:val="1"/>
    <w:rsid w:val="00D20E16"/>
    <w:rPr>
      <w:rFonts w:ascii="Arial" w:eastAsia="Arial" w:hAnsi="Arial" w:cs="Arial"/>
      <w:b/>
      <w:bCs/>
      <w:color w:val="17365D"/>
      <w:sz w:val="24"/>
      <w:szCs w:val="24"/>
      <w:lang w:val="en-AU" w:eastAsia="en-AU" w:bidi="en-AU"/>
    </w:rPr>
  </w:style>
  <w:style w:type="paragraph" w:customStyle="1" w:styleId="Mainbody-Headings">
    <w:name w:val="Main body - Headings"/>
    <w:basedOn w:val="Style1"/>
    <w:link w:val="Mainbody-HeadingsChar"/>
    <w:uiPriority w:val="1"/>
    <w:qFormat/>
    <w:rsid w:val="0003337F"/>
    <w:pPr>
      <w:spacing w:before="120" w:after="120"/>
      <w:jc w:val="left"/>
    </w:pPr>
    <w:rPr>
      <w:color w:val="E57200"/>
    </w:rPr>
  </w:style>
  <w:style w:type="paragraph" w:customStyle="1" w:styleId="Frontpagetitle">
    <w:name w:val="Front page title"/>
    <w:basedOn w:val="Normal"/>
    <w:link w:val="FrontpagetitleChar"/>
    <w:uiPriority w:val="1"/>
    <w:qFormat/>
    <w:rsid w:val="00030385"/>
    <w:pPr>
      <w:spacing w:before="71"/>
      <w:ind w:left="140"/>
    </w:pPr>
    <w:rPr>
      <w:b/>
      <w:color w:val="FFFFFF"/>
      <w:sz w:val="90"/>
    </w:rPr>
  </w:style>
  <w:style w:type="character" w:customStyle="1" w:styleId="Mainbody-HeadingsChar">
    <w:name w:val="Main body - Headings Char"/>
    <w:basedOn w:val="Style1Char"/>
    <w:link w:val="Mainbody-Headings"/>
    <w:uiPriority w:val="1"/>
    <w:rsid w:val="0003337F"/>
    <w:rPr>
      <w:rFonts w:ascii="Rubik" w:eastAsia="Arial" w:hAnsi="Rubik" w:cs="Arial"/>
      <w:b/>
      <w:bCs/>
      <w:color w:val="E57200"/>
      <w:sz w:val="60"/>
      <w:szCs w:val="28"/>
      <w:lang w:val="en-AU" w:eastAsia="en-AU" w:bidi="en-AU"/>
    </w:rPr>
  </w:style>
  <w:style w:type="paragraph" w:customStyle="1" w:styleId="Frontpagesubtitle">
    <w:name w:val="Front page subtitle"/>
    <w:basedOn w:val="Normal"/>
    <w:link w:val="FrontpagesubtitleChar"/>
    <w:uiPriority w:val="1"/>
    <w:qFormat/>
    <w:rsid w:val="00030385"/>
    <w:pPr>
      <w:spacing w:before="237"/>
      <w:ind w:left="122" w:right="8362"/>
      <w:jc w:val="center"/>
    </w:pPr>
    <w:rPr>
      <w:color w:val="FFFFFF"/>
      <w:sz w:val="56"/>
    </w:rPr>
  </w:style>
  <w:style w:type="character" w:customStyle="1" w:styleId="FrontpagetitleChar">
    <w:name w:val="Front page title Char"/>
    <w:basedOn w:val="DefaultParagraphFont"/>
    <w:link w:val="Frontpagetitle"/>
    <w:uiPriority w:val="1"/>
    <w:rsid w:val="00030385"/>
    <w:rPr>
      <w:rFonts w:ascii="Arial" w:eastAsia="Arial" w:hAnsi="Arial" w:cs="Arial"/>
      <w:b/>
      <w:color w:val="FFFFFF"/>
      <w:sz w:val="90"/>
      <w:lang w:val="en-AU" w:eastAsia="en-AU" w:bidi="en-AU"/>
    </w:rPr>
  </w:style>
  <w:style w:type="paragraph" w:customStyle="1" w:styleId="Mainbody-text">
    <w:name w:val="Main body - text"/>
    <w:basedOn w:val="BodyText"/>
    <w:link w:val="Mainbody-textChar"/>
    <w:uiPriority w:val="1"/>
    <w:qFormat/>
    <w:rsid w:val="002150FD"/>
    <w:pPr>
      <w:spacing w:after="284" w:line="300" w:lineRule="exact"/>
    </w:pPr>
    <w:rPr>
      <w:sz w:val="24"/>
    </w:rPr>
  </w:style>
  <w:style w:type="character" w:customStyle="1" w:styleId="FrontpagesubtitleChar">
    <w:name w:val="Front page subtitle Char"/>
    <w:basedOn w:val="DefaultParagraphFont"/>
    <w:link w:val="Frontpagesubtitle"/>
    <w:uiPriority w:val="1"/>
    <w:rsid w:val="00030385"/>
    <w:rPr>
      <w:rFonts w:ascii="Arial" w:eastAsia="Arial" w:hAnsi="Arial" w:cs="Arial"/>
      <w:color w:val="FFFFFF"/>
      <w:sz w:val="56"/>
      <w:lang w:val="en-AU" w:eastAsia="en-AU" w:bidi="en-AU"/>
    </w:rPr>
  </w:style>
  <w:style w:type="paragraph" w:customStyle="1" w:styleId="Mainbody-subheadings">
    <w:name w:val="Main body - sub headings"/>
    <w:basedOn w:val="Heading2"/>
    <w:link w:val="Mainbody-subheadingsChar"/>
    <w:uiPriority w:val="1"/>
    <w:qFormat/>
    <w:rsid w:val="00047894"/>
  </w:style>
  <w:style w:type="character" w:customStyle="1" w:styleId="Mainbody-textChar">
    <w:name w:val="Main body - text Char"/>
    <w:basedOn w:val="DefaultParagraphFont"/>
    <w:link w:val="Mainbody-text"/>
    <w:uiPriority w:val="1"/>
    <w:rsid w:val="002150FD"/>
    <w:rPr>
      <w:rFonts w:ascii="Arial" w:eastAsia="Arial" w:hAnsi="Arial" w:cs="Arial"/>
      <w:sz w:val="24"/>
      <w:szCs w:val="20"/>
      <w:lang w:val="en-AU" w:eastAsia="en-AU" w:bidi="en-AU"/>
    </w:rPr>
  </w:style>
  <w:style w:type="paragraph" w:customStyle="1" w:styleId="Mainbody-subtitle">
    <w:name w:val="Main body - subtitle"/>
    <w:basedOn w:val="Normal"/>
    <w:link w:val="Mainbody-subtitleChar"/>
    <w:autoRedefine/>
    <w:uiPriority w:val="1"/>
    <w:qFormat/>
    <w:rsid w:val="000E697D"/>
    <w:pPr>
      <w:spacing w:before="40" w:after="120"/>
    </w:pPr>
    <w:rPr>
      <w:b/>
      <w:color w:val="E57200"/>
    </w:rPr>
  </w:style>
  <w:style w:type="character" w:customStyle="1" w:styleId="Mainbody-subheadingsChar">
    <w:name w:val="Main body - sub headings Char"/>
    <w:basedOn w:val="Heading2Char"/>
    <w:link w:val="Mainbody-subheadings"/>
    <w:uiPriority w:val="1"/>
    <w:rsid w:val="00047894"/>
    <w:rPr>
      <w:rFonts w:ascii="Arial" w:eastAsia="Arial" w:hAnsi="Arial" w:cs="Arial"/>
      <w:b/>
      <w:bCs/>
      <w:color w:val="E57200"/>
      <w:sz w:val="32"/>
      <w:szCs w:val="24"/>
      <w:lang w:val="en-AU" w:eastAsia="en-AU" w:bidi="en-AU"/>
    </w:rPr>
  </w:style>
  <w:style w:type="character" w:customStyle="1" w:styleId="Mainbody-subtitleChar">
    <w:name w:val="Main body - subtitle Char"/>
    <w:basedOn w:val="DefaultParagraphFont"/>
    <w:link w:val="Mainbody-subtitle"/>
    <w:uiPriority w:val="1"/>
    <w:rsid w:val="000E697D"/>
    <w:rPr>
      <w:rFonts w:ascii="Arial" w:eastAsia="Arial" w:hAnsi="Arial" w:cs="Arial"/>
      <w:b/>
      <w:color w:val="E57200"/>
      <w:sz w:val="24"/>
      <w:lang w:val="en-AU" w:eastAsia="en-AU" w:bidi="en-AU"/>
    </w:rPr>
  </w:style>
  <w:style w:type="paragraph" w:customStyle="1" w:styleId="Boxheading">
    <w:name w:val="Box heading"/>
    <w:basedOn w:val="Normal"/>
    <w:link w:val="BoxheadingChar"/>
    <w:uiPriority w:val="1"/>
    <w:qFormat/>
    <w:rsid w:val="001D46F2"/>
    <w:pPr>
      <w:widowControl/>
      <w:spacing w:before="180" w:after="180"/>
      <w:jc w:val="center"/>
    </w:pPr>
    <w:rPr>
      <w:b/>
      <w:color w:val="000000" w:themeColor="text1"/>
    </w:rPr>
  </w:style>
  <w:style w:type="paragraph" w:customStyle="1" w:styleId="Boxheading0">
    <w:name w:val="Box heading."/>
    <w:basedOn w:val="Boxheading"/>
    <w:link w:val="BoxheadingChar0"/>
    <w:uiPriority w:val="1"/>
    <w:qFormat/>
    <w:rsid w:val="00EF0678"/>
  </w:style>
  <w:style w:type="character" w:customStyle="1" w:styleId="BoxheadingChar">
    <w:name w:val="Box heading Char"/>
    <w:basedOn w:val="DefaultParagraphFont"/>
    <w:link w:val="Boxheading"/>
    <w:uiPriority w:val="1"/>
    <w:rsid w:val="001D46F2"/>
    <w:rPr>
      <w:rFonts w:ascii="Arial" w:eastAsia="Arial" w:hAnsi="Arial" w:cs="Arial"/>
      <w:b/>
      <w:color w:val="000000" w:themeColor="text1"/>
      <w:sz w:val="24"/>
      <w:lang w:val="en-AU" w:eastAsia="en-AU" w:bidi="en-AU"/>
    </w:rPr>
  </w:style>
  <w:style w:type="paragraph" w:customStyle="1" w:styleId="Boxbodytext">
    <w:name w:val="Box body text"/>
    <w:basedOn w:val="Normal"/>
    <w:link w:val="BoxbodytextChar"/>
    <w:uiPriority w:val="1"/>
    <w:qFormat/>
    <w:rsid w:val="008960B1"/>
    <w:pPr>
      <w:widowControl/>
      <w:spacing w:after="100"/>
      <w:ind w:left="568" w:right="108" w:hanging="284"/>
    </w:pPr>
    <w:rPr>
      <w:color w:val="000000" w:themeColor="text1"/>
      <w:sz w:val="22"/>
    </w:rPr>
  </w:style>
  <w:style w:type="character" w:customStyle="1" w:styleId="BoxheadingChar0">
    <w:name w:val="Box heading. Char"/>
    <w:basedOn w:val="BoxheadingChar"/>
    <w:link w:val="Boxheading0"/>
    <w:uiPriority w:val="1"/>
    <w:rsid w:val="00EF0678"/>
    <w:rPr>
      <w:rFonts w:ascii="Arial" w:eastAsia="Arial" w:hAnsi="Arial" w:cs="Arial"/>
      <w:b/>
      <w:i w:val="0"/>
      <w:color w:val="17365D"/>
      <w:sz w:val="20"/>
      <w:lang w:val="en-AU" w:eastAsia="en-AU" w:bidi="en-AU"/>
    </w:rPr>
  </w:style>
  <w:style w:type="paragraph" w:customStyle="1" w:styleId="References">
    <w:name w:val="References"/>
    <w:basedOn w:val="ListParagraph"/>
    <w:link w:val="ReferencesChar"/>
    <w:uiPriority w:val="1"/>
    <w:qFormat/>
    <w:rsid w:val="002D16C4"/>
    <w:pPr>
      <w:numPr>
        <w:numId w:val="1"/>
      </w:numPr>
      <w:tabs>
        <w:tab w:val="left" w:pos="665"/>
      </w:tabs>
      <w:spacing w:before="0"/>
      <w:ind w:right="475"/>
      <w:jc w:val="both"/>
    </w:pPr>
    <w:rPr>
      <w:sz w:val="20"/>
    </w:rPr>
  </w:style>
  <w:style w:type="character" w:customStyle="1" w:styleId="BoxbodytextChar">
    <w:name w:val="Box body text Char"/>
    <w:basedOn w:val="DefaultParagraphFont"/>
    <w:link w:val="Boxbodytext"/>
    <w:uiPriority w:val="1"/>
    <w:rsid w:val="008960B1"/>
    <w:rPr>
      <w:rFonts w:ascii="Arial" w:eastAsia="Arial" w:hAnsi="Arial" w:cs="Arial"/>
      <w:color w:val="000000" w:themeColor="text1"/>
      <w:lang w:val="en-AU" w:eastAsia="en-AU" w:bidi="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2D16C4"/>
    <w:rPr>
      <w:rFonts w:ascii="Arial" w:eastAsia="Arial" w:hAnsi="Arial" w:cs="Arial"/>
      <w:lang w:val="en-AU" w:eastAsia="en-AU" w:bidi="en-AU"/>
    </w:rPr>
  </w:style>
  <w:style w:type="character" w:customStyle="1" w:styleId="ReferencesChar">
    <w:name w:val="References Char"/>
    <w:basedOn w:val="ListParagraphChar"/>
    <w:link w:val="References"/>
    <w:uiPriority w:val="1"/>
    <w:rsid w:val="002D16C4"/>
    <w:rPr>
      <w:rFonts w:ascii="Arial" w:eastAsia="Arial" w:hAnsi="Arial" w:cs="Arial"/>
      <w:sz w:val="20"/>
      <w:lang w:val="en-AU" w:eastAsia="en-AU" w:bidi="en-AU"/>
    </w:rPr>
  </w:style>
  <w:style w:type="table" w:styleId="TableGrid">
    <w:name w:val="Table Grid"/>
    <w:basedOn w:val="TableNormal"/>
    <w:uiPriority w:val="39"/>
    <w:rsid w:val="00637AAE"/>
    <w:tblPr>
      <w:tblBorders>
        <w:top w:val="single" w:sz="4" w:space="0" w:color="E57200"/>
        <w:left w:val="single" w:sz="4" w:space="0" w:color="E57200"/>
        <w:bottom w:val="single" w:sz="4" w:space="0" w:color="E57200"/>
        <w:right w:val="single" w:sz="4" w:space="0" w:color="E57200"/>
        <w:insideH w:val="single" w:sz="4" w:space="0" w:color="E57200"/>
        <w:insideV w:val="single" w:sz="4" w:space="0" w:color="E57200"/>
      </w:tblBorders>
    </w:tblPr>
    <w:tblStylePr w:type="firstRow">
      <w:rPr>
        <w:b/>
        <w:sz w:val="24"/>
      </w:rPr>
      <w:tblPr/>
      <w:tcPr>
        <w:shd w:val="clear" w:color="auto" w:fill="E57200"/>
      </w:tcPr>
    </w:tblStylePr>
  </w:style>
  <w:style w:type="character" w:styleId="CommentReference">
    <w:name w:val="annotation reference"/>
    <w:basedOn w:val="DefaultParagraphFont"/>
    <w:uiPriority w:val="99"/>
    <w:semiHidden/>
    <w:unhideWhenUsed/>
    <w:rsid w:val="00AA002E"/>
    <w:rPr>
      <w:sz w:val="16"/>
      <w:szCs w:val="16"/>
    </w:rPr>
  </w:style>
  <w:style w:type="paragraph" w:styleId="CommentText">
    <w:name w:val="annotation text"/>
    <w:basedOn w:val="Normal"/>
    <w:link w:val="CommentTextChar"/>
    <w:uiPriority w:val="99"/>
    <w:unhideWhenUsed/>
    <w:rsid w:val="00AA002E"/>
    <w:rPr>
      <w:sz w:val="20"/>
      <w:szCs w:val="20"/>
    </w:rPr>
  </w:style>
  <w:style w:type="character" w:customStyle="1" w:styleId="CommentTextChar">
    <w:name w:val="Comment Text Char"/>
    <w:basedOn w:val="DefaultParagraphFont"/>
    <w:link w:val="CommentText"/>
    <w:uiPriority w:val="99"/>
    <w:rsid w:val="00AA002E"/>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AA002E"/>
    <w:rPr>
      <w:b/>
      <w:bCs/>
    </w:rPr>
  </w:style>
  <w:style w:type="character" w:customStyle="1" w:styleId="CommentSubjectChar">
    <w:name w:val="Comment Subject Char"/>
    <w:basedOn w:val="CommentTextChar"/>
    <w:link w:val="CommentSubject"/>
    <w:uiPriority w:val="99"/>
    <w:semiHidden/>
    <w:rsid w:val="00AA002E"/>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AA00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02E"/>
    <w:rPr>
      <w:rFonts w:ascii="Segoe UI" w:eastAsia="Arial" w:hAnsi="Segoe UI" w:cs="Segoe UI"/>
      <w:sz w:val="18"/>
      <w:szCs w:val="18"/>
      <w:lang w:val="en-AU" w:eastAsia="en-AU" w:bidi="en-AU"/>
    </w:rPr>
  </w:style>
  <w:style w:type="character" w:styleId="FootnoteReference">
    <w:name w:val="footnote reference"/>
    <w:uiPriority w:val="99"/>
    <w:rsid w:val="001764DE"/>
    <w:rPr>
      <w:rFonts w:ascii="Arial" w:hAnsi="Arial"/>
      <w:vertAlign w:val="superscript"/>
    </w:rPr>
  </w:style>
  <w:style w:type="paragraph" w:styleId="FootnoteText">
    <w:name w:val="footnote text"/>
    <w:aliases w:val="RV Footnote Text"/>
    <w:basedOn w:val="Normal"/>
    <w:link w:val="FootnoteTextChar"/>
    <w:uiPriority w:val="99"/>
    <w:rsid w:val="001764DE"/>
    <w:pPr>
      <w:widowControl/>
      <w:autoSpaceDE/>
      <w:autoSpaceDN/>
      <w:spacing w:before="60" w:after="60" w:line="200" w:lineRule="atLeast"/>
    </w:pPr>
    <w:rPr>
      <w:rFonts w:eastAsia="MS Gothic"/>
      <w:sz w:val="16"/>
      <w:szCs w:val="16"/>
      <w:lang w:eastAsia="en-US" w:bidi="ar-SA"/>
    </w:rPr>
  </w:style>
  <w:style w:type="character" w:customStyle="1" w:styleId="FootnoteTextChar">
    <w:name w:val="Footnote Text Char"/>
    <w:aliases w:val="RV Footnote Text Char"/>
    <w:basedOn w:val="DefaultParagraphFont"/>
    <w:link w:val="FootnoteText"/>
    <w:uiPriority w:val="99"/>
    <w:rsid w:val="001764DE"/>
    <w:rPr>
      <w:rFonts w:ascii="Arial" w:eastAsia="MS Gothic" w:hAnsi="Arial" w:cs="Arial"/>
      <w:sz w:val="16"/>
      <w:szCs w:val="16"/>
      <w:lang w:val="en-AU"/>
    </w:rPr>
  </w:style>
  <w:style w:type="paragraph" w:customStyle="1" w:styleId="body">
    <w:name w:val="body"/>
    <w:basedOn w:val="Normal"/>
    <w:link w:val="bodyChar"/>
    <w:qFormat/>
    <w:rsid w:val="00E538B2"/>
    <w:pPr>
      <w:widowControl/>
      <w:autoSpaceDE/>
      <w:autoSpaceDN/>
      <w:spacing w:after="284" w:line="300" w:lineRule="exact"/>
    </w:pPr>
    <w:rPr>
      <w:rFonts w:eastAsiaTheme="minorHAnsi" w:cstheme="minorHAnsi"/>
      <w:bCs/>
      <w:szCs w:val="20"/>
      <w:lang w:eastAsia="en-US" w:bidi="ar-SA"/>
    </w:rPr>
  </w:style>
  <w:style w:type="character" w:customStyle="1" w:styleId="bodyChar">
    <w:name w:val="body Char"/>
    <w:basedOn w:val="DefaultParagraphFont"/>
    <w:link w:val="body"/>
    <w:rsid w:val="00E538B2"/>
    <w:rPr>
      <w:rFonts w:ascii="Arial" w:hAnsi="Arial" w:cstheme="minorHAnsi"/>
      <w:bCs/>
      <w:sz w:val="24"/>
      <w:szCs w:val="20"/>
      <w:lang w:val="en-AU"/>
    </w:rPr>
  </w:style>
  <w:style w:type="paragraph" w:customStyle="1" w:styleId="RVbody">
    <w:name w:val="RV body"/>
    <w:qFormat/>
    <w:rsid w:val="004A5F69"/>
    <w:pPr>
      <w:widowControl/>
      <w:autoSpaceDE/>
      <w:autoSpaceDN/>
      <w:spacing w:before="80" w:after="80"/>
    </w:pPr>
    <w:rPr>
      <w:rFonts w:ascii="Arial" w:eastAsia="Times" w:hAnsi="Arial" w:cs="Times New Roman"/>
      <w:sz w:val="20"/>
      <w:szCs w:val="20"/>
      <w:lang w:val="en-AU"/>
    </w:rPr>
  </w:style>
  <w:style w:type="paragraph" w:customStyle="1" w:styleId="RVBullet1">
    <w:name w:val="RV Bullet 1"/>
    <w:basedOn w:val="Normal"/>
    <w:uiPriority w:val="11"/>
    <w:qFormat/>
    <w:rsid w:val="004A5F69"/>
    <w:pPr>
      <w:widowControl/>
      <w:autoSpaceDE/>
      <w:autoSpaceDN/>
      <w:spacing w:before="80" w:after="80"/>
      <w:ind w:left="357" w:hanging="357"/>
    </w:pPr>
    <w:rPr>
      <w:rFonts w:eastAsia="Times" w:cs="Circular Std Book"/>
      <w:sz w:val="20"/>
      <w:szCs w:val="18"/>
      <w:lang w:eastAsia="en-US" w:bidi="ar-SA"/>
    </w:rPr>
  </w:style>
  <w:style w:type="paragraph" w:customStyle="1" w:styleId="RVtablecaption">
    <w:name w:val="RV table caption"/>
    <w:next w:val="Normal"/>
    <w:uiPriority w:val="3"/>
    <w:rsid w:val="00041E27"/>
    <w:pPr>
      <w:keepNext/>
      <w:keepLines/>
      <w:widowControl/>
      <w:autoSpaceDE/>
      <w:autoSpaceDN/>
      <w:spacing w:before="80" w:after="80"/>
    </w:pPr>
    <w:rPr>
      <w:rFonts w:eastAsia="Times New Roman" w:cs="Times New Roman"/>
      <w:b/>
      <w:sz w:val="20"/>
      <w:szCs w:val="20"/>
      <w:lang w:val="en-AU"/>
    </w:rPr>
  </w:style>
  <w:style w:type="character" w:styleId="FollowedHyperlink">
    <w:name w:val="FollowedHyperlink"/>
    <w:basedOn w:val="DefaultParagraphFont"/>
    <w:uiPriority w:val="99"/>
    <w:semiHidden/>
    <w:unhideWhenUsed/>
    <w:rsid w:val="00FF1EC0"/>
    <w:rPr>
      <w:color w:val="800080" w:themeColor="followedHyperlink"/>
      <w:u w:val="single"/>
    </w:rPr>
  </w:style>
  <w:style w:type="paragraph" w:styleId="Revision">
    <w:name w:val="Revision"/>
    <w:hidden/>
    <w:uiPriority w:val="99"/>
    <w:semiHidden/>
    <w:rsid w:val="00FF5E7F"/>
    <w:pPr>
      <w:widowControl/>
      <w:autoSpaceDE/>
      <w:autoSpaceDN/>
    </w:pPr>
    <w:rPr>
      <w:rFonts w:ascii="Arial" w:eastAsia="Arial" w:hAnsi="Arial" w:cs="Arial"/>
      <w:lang w:val="en-AU" w:eastAsia="en-AU" w:bidi="en-AU"/>
    </w:rPr>
  </w:style>
  <w:style w:type="table" w:styleId="GridTable4-Accent2">
    <w:name w:val="Grid Table 4 Accent 2"/>
    <w:basedOn w:val="TableNormal"/>
    <w:uiPriority w:val="49"/>
    <w:rsid w:val="00F71F76"/>
    <w:pPr>
      <w:widowControl/>
      <w:autoSpaceDE/>
      <w:autoSpaceDN/>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EndNoteBibliographyTitle">
    <w:name w:val="EndNote Bibliography Title"/>
    <w:basedOn w:val="Normal"/>
    <w:link w:val="EndNoteBibliographyTitleChar"/>
    <w:rsid w:val="007E6951"/>
    <w:pPr>
      <w:jc w:val="center"/>
    </w:pPr>
    <w:rPr>
      <w:noProof/>
      <w:sz w:val="20"/>
    </w:rPr>
  </w:style>
  <w:style w:type="character" w:customStyle="1" w:styleId="EndNoteBibliographyTitleChar">
    <w:name w:val="EndNote Bibliography Title Char"/>
    <w:basedOn w:val="BodyTextChar"/>
    <w:link w:val="EndNoteBibliographyTitle"/>
    <w:rsid w:val="007E6951"/>
    <w:rPr>
      <w:rFonts w:ascii="Arial" w:eastAsia="Arial" w:hAnsi="Arial" w:cs="Arial"/>
      <w:noProof/>
      <w:sz w:val="20"/>
      <w:szCs w:val="20"/>
      <w:lang w:val="en-AU" w:eastAsia="en-AU" w:bidi="en-AU"/>
    </w:rPr>
  </w:style>
  <w:style w:type="paragraph" w:customStyle="1" w:styleId="EndNoteBibliography">
    <w:name w:val="EndNote Bibliography"/>
    <w:basedOn w:val="Normal"/>
    <w:link w:val="EndNoteBibliographyChar"/>
    <w:rsid w:val="007910C5"/>
    <w:pPr>
      <w:spacing w:line="360" w:lineRule="auto"/>
    </w:pPr>
    <w:rPr>
      <w:noProof/>
      <w:sz w:val="18"/>
    </w:rPr>
  </w:style>
  <w:style w:type="character" w:customStyle="1" w:styleId="EndNoteBibliographyChar">
    <w:name w:val="EndNote Bibliography Char"/>
    <w:basedOn w:val="BodyTextChar"/>
    <w:link w:val="EndNoteBibliography"/>
    <w:rsid w:val="007910C5"/>
    <w:rPr>
      <w:rFonts w:ascii="Arial" w:eastAsia="Arial" w:hAnsi="Arial" w:cs="Arial"/>
      <w:noProof/>
      <w:sz w:val="18"/>
      <w:szCs w:val="20"/>
      <w:lang w:val="en-AU" w:eastAsia="en-AU" w:bidi="en-AU"/>
    </w:rPr>
  </w:style>
  <w:style w:type="paragraph" w:styleId="NormalWeb">
    <w:name w:val="Normal (Web)"/>
    <w:basedOn w:val="Normal"/>
    <w:uiPriority w:val="99"/>
    <w:unhideWhenUsed/>
    <w:rsid w:val="000F1EC1"/>
    <w:pPr>
      <w:widowControl/>
      <w:autoSpaceDE/>
      <w:autoSpaceDN/>
      <w:spacing w:before="100" w:beforeAutospacing="1" w:after="100" w:afterAutospacing="1"/>
    </w:pPr>
    <w:rPr>
      <w:rFonts w:ascii="Times New Roman" w:eastAsia="Times New Roman" w:hAnsi="Times New Roman" w:cs="Times New Roman"/>
      <w:szCs w:val="24"/>
      <w:lang w:bidi="ar-SA"/>
    </w:rPr>
  </w:style>
  <w:style w:type="character" w:styleId="Emphasis">
    <w:name w:val="Emphasis"/>
    <w:basedOn w:val="DefaultParagraphFont"/>
    <w:uiPriority w:val="20"/>
    <w:qFormat/>
    <w:rsid w:val="000F1EC1"/>
    <w:rPr>
      <w:i/>
      <w:iCs/>
    </w:rPr>
  </w:style>
  <w:style w:type="table" w:styleId="GridTable4">
    <w:name w:val="Grid Table 4"/>
    <w:basedOn w:val="TableNormal"/>
    <w:uiPriority w:val="49"/>
    <w:rsid w:val="00467A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2">
    <w:name w:val="List Table 4 Accent 2"/>
    <w:basedOn w:val="TableNormal"/>
    <w:uiPriority w:val="49"/>
    <w:rsid w:val="00467A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CE74D4"/>
    <w:pPr>
      <w:widowControl/>
      <w:adjustRightInd w:val="0"/>
    </w:pPr>
    <w:rPr>
      <w:rFonts w:ascii="Times New Roman" w:hAnsi="Times New Roman" w:cs="Times New Roman"/>
      <w:color w:val="000000"/>
      <w:sz w:val="24"/>
      <w:szCs w:val="24"/>
      <w:lang w:val="en-AU"/>
    </w:rPr>
  </w:style>
  <w:style w:type="table" w:styleId="ListTable3-Accent1">
    <w:name w:val="List Table 3 Accent 1"/>
    <w:basedOn w:val="TableNormal"/>
    <w:uiPriority w:val="48"/>
    <w:rsid w:val="00635FDC"/>
    <w:tblPr>
      <w:tblStyleRowBandSize w:val="1"/>
      <w:tblStyleColBandSize w:val="1"/>
      <w:tblBorders>
        <w:top w:val="single" w:sz="4" w:space="0" w:color="E57200"/>
        <w:left w:val="single" w:sz="4" w:space="0" w:color="E57200"/>
        <w:bottom w:val="single" w:sz="4" w:space="0" w:color="E57200"/>
        <w:right w:val="single" w:sz="4" w:space="0" w:color="E57200"/>
        <w:insideH w:val="single" w:sz="4" w:space="0" w:color="E57200"/>
        <w:insideV w:val="single" w:sz="4" w:space="0" w:color="E57200"/>
      </w:tblBorders>
    </w:tblPr>
    <w:tblStylePr w:type="firstRow">
      <w:rPr>
        <w:b/>
        <w:bCs/>
        <w:color w:val="FFFFFF" w:themeColor="background1"/>
      </w:rPr>
      <w:tblPr/>
      <w:tcPr>
        <w:shd w:val="clear" w:color="auto" w:fill="E57200"/>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Body0">
    <w:name w:val="Body"/>
    <w:rsid w:val="002E3C3D"/>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en-AU"/>
      <w14:textOutline w14:w="0" w14:cap="flat" w14:cmpd="sng" w14:algn="ctr">
        <w14:noFill/>
        <w14:prstDash w14:val="solid"/>
        <w14:bevel/>
      </w14:textOutline>
    </w:rPr>
  </w:style>
  <w:style w:type="paragraph" w:styleId="Title">
    <w:name w:val="Title"/>
    <w:basedOn w:val="Normal"/>
    <w:next w:val="Normal"/>
    <w:link w:val="TitleChar"/>
    <w:uiPriority w:val="10"/>
    <w:qFormat/>
    <w:rsid w:val="00D82753"/>
    <w:pPr>
      <w:widowControl/>
      <w:autoSpaceDE/>
      <w:autoSpaceDN/>
      <w:spacing w:after="400"/>
      <w:contextualSpacing/>
    </w:pPr>
    <w:rPr>
      <w:rFonts w:ascii="Rubik" w:eastAsiaTheme="majorEastAsia" w:hAnsi="Rubik" w:cstheme="majorBidi"/>
      <w:b/>
      <w:spacing w:val="-10"/>
      <w:kern w:val="28"/>
      <w:sz w:val="48"/>
      <w:szCs w:val="56"/>
      <w:lang w:eastAsia="en-US" w:bidi="ar-SA"/>
    </w:rPr>
  </w:style>
  <w:style w:type="character" w:customStyle="1" w:styleId="TitleChar">
    <w:name w:val="Title Char"/>
    <w:basedOn w:val="DefaultParagraphFont"/>
    <w:link w:val="Title"/>
    <w:uiPriority w:val="10"/>
    <w:rsid w:val="00D82753"/>
    <w:rPr>
      <w:rFonts w:ascii="Rubik" w:eastAsiaTheme="majorEastAsia" w:hAnsi="Rubik" w:cstheme="majorBidi"/>
      <w:b/>
      <w:spacing w:val="-10"/>
      <w:kern w:val="28"/>
      <w:sz w:val="48"/>
      <w:szCs w:val="56"/>
      <w:lang w:val="en-AU"/>
    </w:rPr>
  </w:style>
  <w:style w:type="paragraph" w:styleId="Subtitle">
    <w:name w:val="Subtitle"/>
    <w:basedOn w:val="Normal"/>
    <w:next w:val="Normal"/>
    <w:link w:val="SubtitleChar"/>
    <w:uiPriority w:val="11"/>
    <w:qFormat/>
    <w:rsid w:val="00D82753"/>
    <w:pPr>
      <w:widowControl/>
      <w:numPr>
        <w:ilvl w:val="1"/>
      </w:numPr>
      <w:autoSpaceDE/>
      <w:autoSpaceDN/>
      <w:spacing w:after="160"/>
    </w:pPr>
    <w:rPr>
      <w:rFonts w:asciiTheme="minorHAnsi" w:eastAsiaTheme="minorEastAsia" w:hAnsiTheme="minorHAnsi" w:cs="Times New Roman (Body CS)"/>
      <w:color w:val="000000" w:themeColor="text1"/>
      <w:lang w:eastAsia="en-US" w:bidi="ar-SA"/>
    </w:rPr>
  </w:style>
  <w:style w:type="character" w:customStyle="1" w:styleId="SubtitleChar">
    <w:name w:val="Subtitle Char"/>
    <w:basedOn w:val="DefaultParagraphFont"/>
    <w:link w:val="Subtitle"/>
    <w:uiPriority w:val="11"/>
    <w:rsid w:val="00D82753"/>
    <w:rPr>
      <w:rFonts w:eastAsiaTheme="minorEastAsia" w:cs="Times New Roman (Body CS)"/>
      <w:color w:val="000000" w:themeColor="text1"/>
      <w:sz w:val="24"/>
      <w:lang w:val="en-AU"/>
    </w:rPr>
  </w:style>
  <w:style w:type="paragraph" w:customStyle="1" w:styleId="Frontcoverdate">
    <w:name w:val="Front cover date"/>
    <w:basedOn w:val="Normal"/>
    <w:qFormat/>
    <w:rsid w:val="00D82753"/>
    <w:pPr>
      <w:widowControl/>
      <w:autoSpaceDE/>
      <w:autoSpaceDN/>
      <w:jc w:val="center"/>
    </w:pPr>
    <w:rPr>
      <w:rFonts w:eastAsiaTheme="minorHAnsi"/>
      <w:b/>
      <w:bCs/>
      <w:sz w:val="32"/>
      <w:szCs w:val="32"/>
      <w:lang w:eastAsia="en-US" w:bidi="ar-SA"/>
    </w:rPr>
  </w:style>
  <w:style w:type="paragraph" w:customStyle="1" w:styleId="BulletList">
    <w:name w:val="Bullet List"/>
    <w:basedOn w:val="Body0"/>
    <w:uiPriority w:val="1"/>
    <w:qFormat/>
    <w:rsid w:val="008C0086"/>
    <w:pPr>
      <w:numPr>
        <w:numId w:val="5"/>
      </w:numPr>
      <w:spacing w:after="200" w:line="300" w:lineRule="exact"/>
      <w:ind w:left="357" w:hanging="357"/>
    </w:pPr>
    <w:rPr>
      <w:rFonts w:ascii="Arial" w:hAnsi="Arial"/>
      <w:sz w:val="24"/>
    </w:rPr>
  </w:style>
  <w:style w:type="paragraph" w:customStyle="1" w:styleId="BodyText1">
    <w:name w:val="Body Text1"/>
    <w:basedOn w:val="body"/>
    <w:uiPriority w:val="1"/>
    <w:qFormat/>
    <w:rsid w:val="00BD24C8"/>
  </w:style>
  <w:style w:type="paragraph" w:customStyle="1" w:styleId="1Numberedlist">
    <w:name w:val="1. Numbered list"/>
    <w:basedOn w:val="Normal"/>
    <w:uiPriority w:val="1"/>
    <w:qFormat/>
    <w:rsid w:val="00A259CD"/>
    <w:pPr>
      <w:numPr>
        <w:numId w:val="2"/>
      </w:numPr>
      <w:spacing w:before="120" w:after="200"/>
    </w:pPr>
    <w:rPr>
      <w:lang w:val="en-GB" w:eastAsia="en-US" w:bidi="ar-SA"/>
    </w:rPr>
  </w:style>
  <w:style w:type="paragraph" w:styleId="NoteHeading">
    <w:name w:val="Note Heading"/>
    <w:basedOn w:val="Normal"/>
    <w:next w:val="Normal"/>
    <w:link w:val="NoteHeadingChar"/>
    <w:uiPriority w:val="99"/>
    <w:semiHidden/>
    <w:unhideWhenUsed/>
    <w:rsid w:val="00354882"/>
  </w:style>
  <w:style w:type="character" w:customStyle="1" w:styleId="NoteHeadingChar">
    <w:name w:val="Note Heading Char"/>
    <w:basedOn w:val="DefaultParagraphFont"/>
    <w:link w:val="NoteHeading"/>
    <w:uiPriority w:val="99"/>
    <w:semiHidden/>
    <w:rsid w:val="00354882"/>
    <w:rPr>
      <w:rFonts w:ascii="Arial" w:eastAsia="Arial" w:hAnsi="Arial" w:cs="Arial"/>
      <w:sz w:val="24"/>
      <w:lang w:val="en-AU" w:eastAsia="en-AU" w:bidi="en-AU"/>
    </w:rPr>
  </w:style>
  <w:style w:type="paragraph" w:customStyle="1" w:styleId="Boxbullets">
    <w:name w:val="Box bullets"/>
    <w:basedOn w:val="Boxbodytext"/>
    <w:uiPriority w:val="1"/>
    <w:qFormat/>
    <w:rsid w:val="0084101C"/>
    <w:pPr>
      <w:numPr>
        <w:numId w:val="6"/>
      </w:numPr>
      <w:spacing w:before="120" w:after="120"/>
      <w:ind w:left="714" w:hanging="357"/>
    </w:pPr>
  </w:style>
  <w:style w:type="paragraph" w:customStyle="1" w:styleId="Intropara">
    <w:name w:val="Intro para"/>
    <w:uiPriority w:val="1"/>
    <w:qFormat/>
    <w:rsid w:val="00645395"/>
    <w:pPr>
      <w:spacing w:after="400"/>
    </w:pPr>
    <w:rPr>
      <w:rFonts w:ascii="Rubik Light" w:eastAsia="Arial" w:hAnsi="Rubik Light" w:cs="Rubik Light"/>
      <w:color w:val="E57200"/>
      <w:sz w:val="32"/>
      <w:szCs w:val="20"/>
      <w:lang w:val="en-AU" w:eastAsia="en-AU" w:bidi="en-AU"/>
    </w:rPr>
  </w:style>
  <w:style w:type="paragraph" w:customStyle="1" w:styleId="HeadingOrangebg">
    <w:name w:val="Heading Orange bg"/>
    <w:basedOn w:val="Body0"/>
    <w:uiPriority w:val="1"/>
    <w:qFormat/>
    <w:rsid w:val="00B317D6"/>
    <w:pPr>
      <w:shd w:val="clear" w:color="auto" w:fill="FDE9D9" w:themeFill="accent6" w:themeFillTint="33"/>
      <w:jc w:val="center"/>
    </w:pPr>
    <w:rPr>
      <w:rFonts w:ascii="Arial" w:hAnsi="Arial"/>
      <w:b/>
      <w:bCs/>
      <w:color w:val="E57200"/>
      <w:sz w:val="32"/>
      <w:szCs w:val="32"/>
    </w:rPr>
  </w:style>
  <w:style w:type="paragraph" w:customStyle="1" w:styleId="Bodycenteredorangebg">
    <w:name w:val="Body centered orange bg"/>
    <w:basedOn w:val="Body0"/>
    <w:uiPriority w:val="1"/>
    <w:qFormat/>
    <w:rsid w:val="00B317D6"/>
    <w:pPr>
      <w:shd w:val="clear" w:color="auto" w:fill="FDE9D9" w:themeFill="accent6" w:themeFillTint="33"/>
      <w:spacing w:after="100"/>
      <w:jc w:val="center"/>
    </w:pPr>
    <w:rPr>
      <w:rFonts w:ascii="Arial" w:hAnsi="Arial"/>
      <w:iCs/>
      <w:sz w:val="28"/>
    </w:rPr>
  </w:style>
  <w:style w:type="paragraph" w:customStyle="1" w:styleId="Tablebodytext">
    <w:name w:val="Table body text"/>
    <w:basedOn w:val="TableParagraph"/>
    <w:uiPriority w:val="1"/>
    <w:qFormat/>
    <w:rsid w:val="002D6767"/>
    <w:pPr>
      <w:spacing w:before="120" w:after="120"/>
      <w:ind w:left="0"/>
    </w:pPr>
    <w:rPr>
      <w:sz w:val="22"/>
    </w:rPr>
  </w:style>
  <w:style w:type="paragraph" w:customStyle="1" w:styleId="Heading4centered">
    <w:name w:val="Heading 4 centered"/>
    <w:basedOn w:val="Heading4"/>
    <w:uiPriority w:val="1"/>
    <w:qFormat/>
    <w:rsid w:val="002D6767"/>
    <w:pPr>
      <w:spacing w:before="180" w:after="180"/>
      <w:ind w:right="57"/>
      <w:jc w:val="center"/>
    </w:pPr>
    <w:rPr>
      <w:rFonts w:ascii="Arial" w:hAnsi="Arial"/>
      <w:b/>
      <w:i w:val="0"/>
      <w:sz w:val="22"/>
    </w:rPr>
  </w:style>
  <w:style w:type="paragraph" w:styleId="Quote">
    <w:name w:val="Quote"/>
    <w:basedOn w:val="Normal"/>
    <w:next w:val="Normal"/>
    <w:link w:val="QuoteChar"/>
    <w:uiPriority w:val="29"/>
    <w:qFormat/>
    <w:rsid w:val="002971CB"/>
    <w:pPr>
      <w:spacing w:before="300" w:after="300" w:line="312" w:lineRule="auto"/>
      <w:ind w:right="397"/>
    </w:pPr>
    <w:rPr>
      <w:i/>
      <w:iCs/>
      <w:color w:val="262626" w:themeColor="text1" w:themeTint="D9"/>
      <w:sz w:val="21"/>
    </w:rPr>
  </w:style>
  <w:style w:type="character" w:customStyle="1" w:styleId="QuoteChar">
    <w:name w:val="Quote Char"/>
    <w:basedOn w:val="DefaultParagraphFont"/>
    <w:link w:val="Quote"/>
    <w:uiPriority w:val="29"/>
    <w:rsid w:val="002971CB"/>
    <w:rPr>
      <w:rFonts w:ascii="Arial" w:eastAsia="Arial" w:hAnsi="Arial" w:cs="Arial"/>
      <w:i/>
      <w:iCs/>
      <w:color w:val="262626" w:themeColor="text1" w:themeTint="D9"/>
      <w:sz w:val="21"/>
      <w:lang w:val="en-AU" w:eastAsia="en-AU" w:bidi="en-AU"/>
    </w:rPr>
  </w:style>
  <w:style w:type="character" w:styleId="SubtleEmphasis">
    <w:name w:val="Subtle Emphasis"/>
    <w:basedOn w:val="DefaultParagraphFont"/>
    <w:uiPriority w:val="19"/>
    <w:rsid w:val="00CB40A5"/>
    <w:rPr>
      <w:i/>
      <w:iCs/>
      <w:color w:val="404040" w:themeColor="text1" w:themeTint="BF"/>
    </w:rPr>
  </w:style>
  <w:style w:type="paragraph" w:styleId="Caption">
    <w:name w:val="caption"/>
    <w:basedOn w:val="Normal"/>
    <w:next w:val="Normal"/>
    <w:uiPriority w:val="35"/>
    <w:unhideWhenUsed/>
    <w:qFormat/>
    <w:rsid w:val="008C5503"/>
    <w:pPr>
      <w:spacing w:before="120" w:after="200"/>
      <w:jc w:val="center"/>
    </w:pPr>
    <w:rPr>
      <w:i/>
      <w:iCs/>
      <w:color w:val="404040" w:themeColor="text1" w:themeTint="BF"/>
      <w:sz w:val="20"/>
      <w:szCs w:val="18"/>
    </w:rPr>
  </w:style>
  <w:style w:type="paragraph" w:customStyle="1" w:styleId="TableHeadingCentererd">
    <w:name w:val="Table Heading Centererd"/>
    <w:basedOn w:val="Tablebodytext"/>
    <w:uiPriority w:val="1"/>
    <w:qFormat/>
    <w:rsid w:val="000276F9"/>
    <w:pPr>
      <w:jc w:val="center"/>
    </w:pPr>
    <w:rPr>
      <w:b/>
    </w:rPr>
  </w:style>
  <w:style w:type="character" w:styleId="PageNumber">
    <w:name w:val="page number"/>
    <w:basedOn w:val="DefaultParagraphFont"/>
    <w:uiPriority w:val="99"/>
    <w:semiHidden/>
    <w:unhideWhenUsed/>
    <w:rsid w:val="001D4E8F"/>
  </w:style>
  <w:style w:type="table" w:customStyle="1" w:styleId="Style3">
    <w:name w:val="Style3"/>
    <w:basedOn w:val="TableNormal"/>
    <w:uiPriority w:val="99"/>
    <w:rsid w:val="00977A93"/>
    <w:pPr>
      <w:widowControl/>
      <w:autoSpaceDE/>
      <w:autoSpaceDN/>
    </w:pPr>
    <w:tblPr/>
  </w:style>
  <w:style w:type="paragraph" w:customStyle="1" w:styleId="Style4">
    <w:name w:val="Style4"/>
    <w:basedOn w:val="Mainbody-subtitle"/>
    <w:uiPriority w:val="1"/>
    <w:qFormat/>
    <w:rsid w:val="00380C9C"/>
    <w:pPr>
      <w:numPr>
        <w:ilvl w:val="3"/>
      </w:numPr>
      <w:ind w:left="1418" w:hanging="851"/>
    </w:pPr>
    <w:rPr>
      <w:color w:val="0D0D0D" w:themeColor="text1" w:themeTint="F2"/>
    </w:rPr>
  </w:style>
  <w:style w:type="paragraph" w:customStyle="1" w:styleId="BoxedRubikCreativeOutput">
    <w:name w:val="Boxed Rubik Creative Output"/>
    <w:basedOn w:val="Heading2"/>
    <w:uiPriority w:val="1"/>
    <w:qFormat/>
    <w:rsid w:val="00F17E55"/>
    <w:pPr>
      <w:pBdr>
        <w:top w:val="dashSmallGap" w:sz="4" w:space="1" w:color="auto"/>
        <w:left w:val="dashSmallGap" w:sz="4" w:space="4" w:color="auto"/>
        <w:bottom w:val="dashSmallGap" w:sz="4" w:space="1" w:color="auto"/>
        <w:right w:val="dashSmallGap" w:sz="4" w:space="4" w:color="auto"/>
      </w:pBdr>
      <w:jc w:val="center"/>
    </w:pPr>
    <w:rPr>
      <w:rFonts w:ascii="Rubik Light" w:hAnsi="Rubik Light" w:cs="Rubik Light"/>
      <w:b w:val="0"/>
    </w:rPr>
  </w:style>
  <w:style w:type="paragraph" w:customStyle="1" w:styleId="CreativeOuputHeading">
    <w:name w:val="Creative Ouput Heading"/>
    <w:basedOn w:val="Intropara"/>
    <w:uiPriority w:val="1"/>
    <w:qFormat/>
    <w:rsid w:val="00964BA6"/>
    <w:pPr>
      <w:spacing w:before="240" w:after="240"/>
      <w:ind w:left="284" w:right="284"/>
      <w:jc w:val="center"/>
    </w:pPr>
    <w:rPr>
      <w:b/>
      <w:color w:val="FFFFFF" w:themeColor="background1"/>
    </w:rPr>
  </w:style>
  <w:style w:type="character" w:styleId="UnresolvedMention">
    <w:name w:val="Unresolved Mention"/>
    <w:basedOn w:val="DefaultParagraphFont"/>
    <w:uiPriority w:val="99"/>
    <w:semiHidden/>
    <w:unhideWhenUsed/>
    <w:rsid w:val="00B87767"/>
    <w:rPr>
      <w:color w:val="605E5C"/>
      <w:shd w:val="clear" w:color="auto" w:fill="E1DFDD"/>
    </w:rPr>
  </w:style>
  <w:style w:type="paragraph" w:styleId="TableofFigures">
    <w:name w:val="table of figures"/>
    <w:basedOn w:val="Normal"/>
    <w:next w:val="Normal"/>
    <w:uiPriority w:val="99"/>
    <w:unhideWhenUsed/>
    <w:rsid w:val="00345D31"/>
    <w:pPr>
      <w:widowControl/>
      <w:autoSpaceDE/>
      <w:autoSpaceDN/>
    </w:pPr>
    <w:rPr>
      <w:rFonts w:ascii="Corbel" w:eastAsiaTheme="minorHAnsi" w:hAnsi="Corbel" w:cstheme="minorBidi"/>
      <w:sz w:val="22"/>
      <w:szCs w:val="24"/>
      <w:lang w:eastAsia="en-US" w:bidi="ar-SA"/>
    </w:rPr>
  </w:style>
  <w:style w:type="character" w:customStyle="1" w:styleId="Heading7Char">
    <w:name w:val="Heading 7 Char"/>
    <w:basedOn w:val="DefaultParagraphFont"/>
    <w:link w:val="Heading7"/>
    <w:uiPriority w:val="9"/>
    <w:semiHidden/>
    <w:rsid w:val="00345D31"/>
    <w:rPr>
      <w:rFonts w:asciiTheme="majorHAnsi" w:eastAsiaTheme="majorEastAsia" w:hAnsiTheme="majorHAnsi" w:cstheme="majorBidi"/>
      <w:i/>
      <w:iCs/>
      <w:color w:val="243F60" w:themeColor="accent1" w:themeShade="7F"/>
      <w:szCs w:val="24"/>
      <w:lang w:val="en-AU"/>
    </w:rPr>
  </w:style>
  <w:style w:type="character" w:customStyle="1" w:styleId="Heading8Char">
    <w:name w:val="Heading 8 Char"/>
    <w:basedOn w:val="DefaultParagraphFont"/>
    <w:link w:val="Heading8"/>
    <w:uiPriority w:val="9"/>
    <w:semiHidden/>
    <w:rsid w:val="00345D31"/>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345D31"/>
    <w:rPr>
      <w:rFonts w:asciiTheme="majorHAnsi" w:eastAsiaTheme="majorEastAsia" w:hAnsiTheme="majorHAnsi" w:cstheme="majorBidi"/>
      <w:i/>
      <w:iCs/>
      <w:color w:val="272727" w:themeColor="text1" w:themeTint="D8"/>
      <w:sz w:val="21"/>
      <w:szCs w:val="21"/>
      <w:lang w:val="en-AU"/>
    </w:rPr>
  </w:style>
  <w:style w:type="paragraph" w:styleId="NoSpacing">
    <w:name w:val="No Spacing"/>
    <w:uiPriority w:val="1"/>
    <w:qFormat/>
    <w:rsid w:val="009D2D81"/>
    <w:pPr>
      <w:widowControl/>
      <w:autoSpaceDE/>
      <w:autoSpaceDN/>
    </w:pPr>
    <w:rPr>
      <w:rFonts w:ascii="Corbel" w:eastAsia="SimSun" w:hAnsi="Corbel" w:cs="Tahoma"/>
      <w:lang w:val="en-AU" w:eastAsia="ja-JP"/>
    </w:rPr>
  </w:style>
  <w:style w:type="paragraph" w:styleId="IntenseQuote">
    <w:name w:val="Intense Quote"/>
    <w:basedOn w:val="Normal"/>
    <w:next w:val="Normal"/>
    <w:link w:val="IntenseQuoteChar"/>
    <w:uiPriority w:val="30"/>
    <w:qFormat/>
    <w:rsid w:val="00CF7D4F"/>
    <w:pPr>
      <w:widowControl/>
      <w:pBdr>
        <w:top w:val="single" w:sz="4" w:space="10" w:color="4F81BD" w:themeColor="accent1"/>
        <w:bottom w:val="single" w:sz="4" w:space="10" w:color="4F81BD" w:themeColor="accent1"/>
      </w:pBdr>
      <w:autoSpaceDE/>
      <w:autoSpaceDN/>
      <w:spacing w:after="120"/>
      <w:ind w:left="284" w:right="284"/>
      <w:jc w:val="center"/>
    </w:pPr>
    <w:rPr>
      <w:rFonts w:ascii="Corbel" w:eastAsiaTheme="minorHAnsi" w:hAnsi="Corbel" w:cstheme="minorBidi"/>
      <w:i/>
      <w:iCs/>
      <w:color w:val="F79646" w:themeColor="accent6"/>
      <w:sz w:val="22"/>
      <w:szCs w:val="24"/>
      <w:lang w:eastAsia="en-US" w:bidi="ar-SA"/>
    </w:rPr>
  </w:style>
  <w:style w:type="character" w:customStyle="1" w:styleId="IntenseQuoteChar">
    <w:name w:val="Intense Quote Char"/>
    <w:basedOn w:val="DefaultParagraphFont"/>
    <w:link w:val="IntenseQuote"/>
    <w:uiPriority w:val="30"/>
    <w:rsid w:val="00CF7D4F"/>
    <w:rPr>
      <w:rFonts w:ascii="Corbel" w:hAnsi="Corbel"/>
      <w:i/>
      <w:iCs/>
      <w:color w:val="F79646" w:themeColor="accent6"/>
      <w:szCs w:val="24"/>
      <w:lang w:val="en-AU"/>
    </w:rPr>
  </w:style>
  <w:style w:type="table" w:styleId="PlainTable2">
    <w:name w:val="Plain Table 2"/>
    <w:basedOn w:val="TableNormal"/>
    <w:uiPriority w:val="42"/>
    <w:rsid w:val="003C4492"/>
    <w:pPr>
      <w:widowControl/>
      <w:autoSpaceDE/>
      <w:autoSpaceDN/>
    </w:pPr>
    <w:rPr>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3C4492"/>
    <w:rPr>
      <w:i/>
      <w:iCs/>
      <w:color w:val="4F81BD" w:themeColor="accent1"/>
    </w:rPr>
  </w:style>
  <w:style w:type="table" w:styleId="GridTable1Light-Accent2">
    <w:name w:val="Grid Table 1 Light Accent 2"/>
    <w:basedOn w:val="TableNormal"/>
    <w:uiPriority w:val="46"/>
    <w:rsid w:val="00CD5E7D"/>
    <w:pPr>
      <w:widowControl/>
      <w:autoSpaceDE/>
      <w:autoSpaceDN/>
    </w:pPr>
    <w:rPr>
      <w:sz w:val="24"/>
      <w:szCs w:val="24"/>
      <w:lang w:val="en-AU"/>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105C19"/>
    <w:pPr>
      <w:widowControl/>
      <w:autoSpaceDE/>
      <w:autoSpaceDN/>
    </w:pPr>
    <w:rPr>
      <w:sz w:val="24"/>
      <w:szCs w:val="24"/>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1Light-Accent4">
    <w:name w:val="Grid Table 1 Light Accent 4"/>
    <w:basedOn w:val="TableNormal"/>
    <w:uiPriority w:val="46"/>
    <w:rsid w:val="00105C19"/>
    <w:pPr>
      <w:widowControl/>
      <w:autoSpaceDE/>
      <w:autoSpaceDN/>
    </w:pPr>
    <w:rPr>
      <w:sz w:val="24"/>
      <w:szCs w:val="24"/>
      <w:lang w:val="en-AU"/>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360682"/>
    <w:pPr>
      <w:widowControl/>
      <w:autoSpaceDE/>
      <w:autoSpaceDN/>
    </w:pPr>
    <w:rPr>
      <w:sz w:val="24"/>
      <w:szCs w:val="24"/>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1">
    <w:name w:val="Grid Table 1 Light Accent 1"/>
    <w:basedOn w:val="TableNormal"/>
    <w:uiPriority w:val="46"/>
    <w:rsid w:val="00B270AE"/>
    <w:pPr>
      <w:widowControl/>
      <w:autoSpaceDE/>
      <w:autoSpaceDN/>
    </w:pPr>
    <w:rPr>
      <w:lang w:val="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onitoringguidetext">
    <w:name w:val="Monitoring guide text"/>
    <w:basedOn w:val="NoSpacing"/>
    <w:qFormat/>
    <w:rsid w:val="00B270AE"/>
    <w:pPr>
      <w:spacing w:after="60"/>
    </w:pPr>
    <w:rPr>
      <w:rFonts w:cstheme="minorHAnsi"/>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41">
      <w:bodyDiv w:val="1"/>
      <w:marLeft w:val="0"/>
      <w:marRight w:val="0"/>
      <w:marTop w:val="0"/>
      <w:marBottom w:val="0"/>
      <w:divBdr>
        <w:top w:val="none" w:sz="0" w:space="0" w:color="auto"/>
        <w:left w:val="none" w:sz="0" w:space="0" w:color="auto"/>
        <w:bottom w:val="none" w:sz="0" w:space="0" w:color="auto"/>
        <w:right w:val="none" w:sz="0" w:space="0" w:color="auto"/>
      </w:divBdr>
      <w:divsChild>
        <w:div w:id="49548308">
          <w:marLeft w:val="360"/>
          <w:marRight w:val="0"/>
          <w:marTop w:val="200"/>
          <w:marBottom w:val="0"/>
          <w:divBdr>
            <w:top w:val="none" w:sz="0" w:space="0" w:color="auto"/>
            <w:left w:val="none" w:sz="0" w:space="0" w:color="auto"/>
            <w:bottom w:val="none" w:sz="0" w:space="0" w:color="auto"/>
            <w:right w:val="none" w:sz="0" w:space="0" w:color="auto"/>
          </w:divBdr>
        </w:div>
        <w:div w:id="283655223">
          <w:marLeft w:val="360"/>
          <w:marRight w:val="0"/>
          <w:marTop w:val="200"/>
          <w:marBottom w:val="0"/>
          <w:divBdr>
            <w:top w:val="none" w:sz="0" w:space="0" w:color="auto"/>
            <w:left w:val="none" w:sz="0" w:space="0" w:color="auto"/>
            <w:bottom w:val="none" w:sz="0" w:space="0" w:color="auto"/>
            <w:right w:val="none" w:sz="0" w:space="0" w:color="auto"/>
          </w:divBdr>
        </w:div>
        <w:div w:id="284697079">
          <w:marLeft w:val="360"/>
          <w:marRight w:val="0"/>
          <w:marTop w:val="200"/>
          <w:marBottom w:val="0"/>
          <w:divBdr>
            <w:top w:val="none" w:sz="0" w:space="0" w:color="auto"/>
            <w:left w:val="none" w:sz="0" w:space="0" w:color="auto"/>
            <w:bottom w:val="none" w:sz="0" w:space="0" w:color="auto"/>
            <w:right w:val="none" w:sz="0" w:space="0" w:color="auto"/>
          </w:divBdr>
        </w:div>
        <w:div w:id="326636098">
          <w:marLeft w:val="360"/>
          <w:marRight w:val="0"/>
          <w:marTop w:val="200"/>
          <w:marBottom w:val="0"/>
          <w:divBdr>
            <w:top w:val="none" w:sz="0" w:space="0" w:color="auto"/>
            <w:left w:val="none" w:sz="0" w:space="0" w:color="auto"/>
            <w:bottom w:val="none" w:sz="0" w:space="0" w:color="auto"/>
            <w:right w:val="none" w:sz="0" w:space="0" w:color="auto"/>
          </w:divBdr>
        </w:div>
        <w:div w:id="452794507">
          <w:marLeft w:val="360"/>
          <w:marRight w:val="0"/>
          <w:marTop w:val="200"/>
          <w:marBottom w:val="0"/>
          <w:divBdr>
            <w:top w:val="none" w:sz="0" w:space="0" w:color="auto"/>
            <w:left w:val="none" w:sz="0" w:space="0" w:color="auto"/>
            <w:bottom w:val="none" w:sz="0" w:space="0" w:color="auto"/>
            <w:right w:val="none" w:sz="0" w:space="0" w:color="auto"/>
          </w:divBdr>
        </w:div>
      </w:divsChild>
    </w:div>
    <w:div w:id="46682103">
      <w:bodyDiv w:val="1"/>
      <w:marLeft w:val="0"/>
      <w:marRight w:val="0"/>
      <w:marTop w:val="0"/>
      <w:marBottom w:val="0"/>
      <w:divBdr>
        <w:top w:val="none" w:sz="0" w:space="0" w:color="auto"/>
        <w:left w:val="none" w:sz="0" w:space="0" w:color="auto"/>
        <w:bottom w:val="none" w:sz="0" w:space="0" w:color="auto"/>
        <w:right w:val="none" w:sz="0" w:space="0" w:color="auto"/>
      </w:divBdr>
      <w:divsChild>
        <w:div w:id="114300349">
          <w:marLeft w:val="360"/>
          <w:marRight w:val="0"/>
          <w:marTop w:val="200"/>
          <w:marBottom w:val="0"/>
          <w:divBdr>
            <w:top w:val="none" w:sz="0" w:space="0" w:color="auto"/>
            <w:left w:val="none" w:sz="0" w:space="0" w:color="auto"/>
            <w:bottom w:val="none" w:sz="0" w:space="0" w:color="auto"/>
            <w:right w:val="none" w:sz="0" w:space="0" w:color="auto"/>
          </w:divBdr>
        </w:div>
        <w:div w:id="196352619">
          <w:marLeft w:val="360"/>
          <w:marRight w:val="0"/>
          <w:marTop w:val="200"/>
          <w:marBottom w:val="0"/>
          <w:divBdr>
            <w:top w:val="none" w:sz="0" w:space="0" w:color="auto"/>
            <w:left w:val="none" w:sz="0" w:space="0" w:color="auto"/>
            <w:bottom w:val="none" w:sz="0" w:space="0" w:color="auto"/>
            <w:right w:val="none" w:sz="0" w:space="0" w:color="auto"/>
          </w:divBdr>
        </w:div>
        <w:div w:id="669063511">
          <w:marLeft w:val="360"/>
          <w:marRight w:val="0"/>
          <w:marTop w:val="200"/>
          <w:marBottom w:val="0"/>
          <w:divBdr>
            <w:top w:val="none" w:sz="0" w:space="0" w:color="auto"/>
            <w:left w:val="none" w:sz="0" w:space="0" w:color="auto"/>
            <w:bottom w:val="none" w:sz="0" w:space="0" w:color="auto"/>
            <w:right w:val="none" w:sz="0" w:space="0" w:color="auto"/>
          </w:divBdr>
        </w:div>
        <w:div w:id="723404560">
          <w:marLeft w:val="360"/>
          <w:marRight w:val="0"/>
          <w:marTop w:val="200"/>
          <w:marBottom w:val="0"/>
          <w:divBdr>
            <w:top w:val="none" w:sz="0" w:space="0" w:color="auto"/>
            <w:left w:val="none" w:sz="0" w:space="0" w:color="auto"/>
            <w:bottom w:val="none" w:sz="0" w:space="0" w:color="auto"/>
            <w:right w:val="none" w:sz="0" w:space="0" w:color="auto"/>
          </w:divBdr>
        </w:div>
        <w:div w:id="1247180931">
          <w:marLeft w:val="360"/>
          <w:marRight w:val="0"/>
          <w:marTop w:val="200"/>
          <w:marBottom w:val="0"/>
          <w:divBdr>
            <w:top w:val="none" w:sz="0" w:space="0" w:color="auto"/>
            <w:left w:val="none" w:sz="0" w:space="0" w:color="auto"/>
            <w:bottom w:val="none" w:sz="0" w:space="0" w:color="auto"/>
            <w:right w:val="none" w:sz="0" w:space="0" w:color="auto"/>
          </w:divBdr>
        </w:div>
        <w:div w:id="1325552792">
          <w:marLeft w:val="360"/>
          <w:marRight w:val="0"/>
          <w:marTop w:val="200"/>
          <w:marBottom w:val="0"/>
          <w:divBdr>
            <w:top w:val="none" w:sz="0" w:space="0" w:color="auto"/>
            <w:left w:val="none" w:sz="0" w:space="0" w:color="auto"/>
            <w:bottom w:val="none" w:sz="0" w:space="0" w:color="auto"/>
            <w:right w:val="none" w:sz="0" w:space="0" w:color="auto"/>
          </w:divBdr>
        </w:div>
        <w:div w:id="1345017759">
          <w:marLeft w:val="360"/>
          <w:marRight w:val="0"/>
          <w:marTop w:val="200"/>
          <w:marBottom w:val="0"/>
          <w:divBdr>
            <w:top w:val="none" w:sz="0" w:space="0" w:color="auto"/>
            <w:left w:val="none" w:sz="0" w:space="0" w:color="auto"/>
            <w:bottom w:val="none" w:sz="0" w:space="0" w:color="auto"/>
            <w:right w:val="none" w:sz="0" w:space="0" w:color="auto"/>
          </w:divBdr>
        </w:div>
        <w:div w:id="1367368007">
          <w:marLeft w:val="360"/>
          <w:marRight w:val="0"/>
          <w:marTop w:val="200"/>
          <w:marBottom w:val="0"/>
          <w:divBdr>
            <w:top w:val="none" w:sz="0" w:space="0" w:color="auto"/>
            <w:left w:val="none" w:sz="0" w:space="0" w:color="auto"/>
            <w:bottom w:val="none" w:sz="0" w:space="0" w:color="auto"/>
            <w:right w:val="none" w:sz="0" w:space="0" w:color="auto"/>
          </w:divBdr>
        </w:div>
        <w:div w:id="1593321469">
          <w:marLeft w:val="360"/>
          <w:marRight w:val="0"/>
          <w:marTop w:val="200"/>
          <w:marBottom w:val="0"/>
          <w:divBdr>
            <w:top w:val="none" w:sz="0" w:space="0" w:color="auto"/>
            <w:left w:val="none" w:sz="0" w:space="0" w:color="auto"/>
            <w:bottom w:val="none" w:sz="0" w:space="0" w:color="auto"/>
            <w:right w:val="none" w:sz="0" w:space="0" w:color="auto"/>
          </w:divBdr>
        </w:div>
        <w:div w:id="1751464764">
          <w:marLeft w:val="360"/>
          <w:marRight w:val="0"/>
          <w:marTop w:val="200"/>
          <w:marBottom w:val="0"/>
          <w:divBdr>
            <w:top w:val="none" w:sz="0" w:space="0" w:color="auto"/>
            <w:left w:val="none" w:sz="0" w:space="0" w:color="auto"/>
            <w:bottom w:val="none" w:sz="0" w:space="0" w:color="auto"/>
            <w:right w:val="none" w:sz="0" w:space="0" w:color="auto"/>
          </w:divBdr>
        </w:div>
        <w:div w:id="2107918939">
          <w:marLeft w:val="360"/>
          <w:marRight w:val="0"/>
          <w:marTop w:val="200"/>
          <w:marBottom w:val="0"/>
          <w:divBdr>
            <w:top w:val="none" w:sz="0" w:space="0" w:color="auto"/>
            <w:left w:val="none" w:sz="0" w:space="0" w:color="auto"/>
            <w:bottom w:val="none" w:sz="0" w:space="0" w:color="auto"/>
            <w:right w:val="none" w:sz="0" w:space="0" w:color="auto"/>
          </w:divBdr>
        </w:div>
      </w:divsChild>
    </w:div>
    <w:div w:id="27429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1534">
          <w:marLeft w:val="0"/>
          <w:marRight w:val="0"/>
          <w:marTop w:val="0"/>
          <w:marBottom w:val="0"/>
          <w:divBdr>
            <w:top w:val="none" w:sz="0" w:space="0" w:color="auto"/>
            <w:left w:val="none" w:sz="0" w:space="0" w:color="auto"/>
            <w:bottom w:val="none" w:sz="0" w:space="0" w:color="auto"/>
            <w:right w:val="none" w:sz="0" w:space="0" w:color="auto"/>
          </w:divBdr>
        </w:div>
      </w:divsChild>
    </w:div>
    <w:div w:id="712770801">
      <w:bodyDiv w:val="1"/>
      <w:marLeft w:val="0"/>
      <w:marRight w:val="0"/>
      <w:marTop w:val="0"/>
      <w:marBottom w:val="0"/>
      <w:divBdr>
        <w:top w:val="none" w:sz="0" w:space="0" w:color="auto"/>
        <w:left w:val="none" w:sz="0" w:space="0" w:color="auto"/>
        <w:bottom w:val="none" w:sz="0" w:space="0" w:color="auto"/>
        <w:right w:val="none" w:sz="0" w:space="0" w:color="auto"/>
      </w:divBdr>
    </w:div>
    <w:div w:id="723649341">
      <w:bodyDiv w:val="1"/>
      <w:marLeft w:val="0"/>
      <w:marRight w:val="0"/>
      <w:marTop w:val="0"/>
      <w:marBottom w:val="0"/>
      <w:divBdr>
        <w:top w:val="none" w:sz="0" w:space="0" w:color="auto"/>
        <w:left w:val="none" w:sz="0" w:space="0" w:color="auto"/>
        <w:bottom w:val="none" w:sz="0" w:space="0" w:color="auto"/>
        <w:right w:val="none" w:sz="0" w:space="0" w:color="auto"/>
      </w:divBdr>
    </w:div>
    <w:div w:id="813445187">
      <w:bodyDiv w:val="1"/>
      <w:marLeft w:val="0"/>
      <w:marRight w:val="0"/>
      <w:marTop w:val="0"/>
      <w:marBottom w:val="0"/>
      <w:divBdr>
        <w:top w:val="none" w:sz="0" w:space="0" w:color="auto"/>
        <w:left w:val="none" w:sz="0" w:space="0" w:color="auto"/>
        <w:bottom w:val="none" w:sz="0" w:space="0" w:color="auto"/>
        <w:right w:val="none" w:sz="0" w:space="0" w:color="auto"/>
      </w:divBdr>
      <w:divsChild>
        <w:div w:id="223105958">
          <w:marLeft w:val="360"/>
          <w:marRight w:val="0"/>
          <w:marTop w:val="200"/>
          <w:marBottom w:val="0"/>
          <w:divBdr>
            <w:top w:val="none" w:sz="0" w:space="0" w:color="auto"/>
            <w:left w:val="none" w:sz="0" w:space="0" w:color="auto"/>
            <w:bottom w:val="none" w:sz="0" w:space="0" w:color="auto"/>
            <w:right w:val="none" w:sz="0" w:space="0" w:color="auto"/>
          </w:divBdr>
        </w:div>
        <w:div w:id="775296081">
          <w:marLeft w:val="360"/>
          <w:marRight w:val="0"/>
          <w:marTop w:val="200"/>
          <w:marBottom w:val="0"/>
          <w:divBdr>
            <w:top w:val="none" w:sz="0" w:space="0" w:color="auto"/>
            <w:left w:val="none" w:sz="0" w:space="0" w:color="auto"/>
            <w:bottom w:val="none" w:sz="0" w:space="0" w:color="auto"/>
            <w:right w:val="none" w:sz="0" w:space="0" w:color="auto"/>
          </w:divBdr>
        </w:div>
        <w:div w:id="1256789719">
          <w:marLeft w:val="360"/>
          <w:marRight w:val="0"/>
          <w:marTop w:val="200"/>
          <w:marBottom w:val="0"/>
          <w:divBdr>
            <w:top w:val="none" w:sz="0" w:space="0" w:color="auto"/>
            <w:left w:val="none" w:sz="0" w:space="0" w:color="auto"/>
            <w:bottom w:val="none" w:sz="0" w:space="0" w:color="auto"/>
            <w:right w:val="none" w:sz="0" w:space="0" w:color="auto"/>
          </w:divBdr>
        </w:div>
        <w:div w:id="1362627034">
          <w:marLeft w:val="360"/>
          <w:marRight w:val="0"/>
          <w:marTop w:val="200"/>
          <w:marBottom w:val="0"/>
          <w:divBdr>
            <w:top w:val="none" w:sz="0" w:space="0" w:color="auto"/>
            <w:left w:val="none" w:sz="0" w:space="0" w:color="auto"/>
            <w:bottom w:val="none" w:sz="0" w:space="0" w:color="auto"/>
            <w:right w:val="none" w:sz="0" w:space="0" w:color="auto"/>
          </w:divBdr>
        </w:div>
        <w:div w:id="1775634957">
          <w:marLeft w:val="360"/>
          <w:marRight w:val="0"/>
          <w:marTop w:val="200"/>
          <w:marBottom w:val="0"/>
          <w:divBdr>
            <w:top w:val="none" w:sz="0" w:space="0" w:color="auto"/>
            <w:left w:val="none" w:sz="0" w:space="0" w:color="auto"/>
            <w:bottom w:val="none" w:sz="0" w:space="0" w:color="auto"/>
            <w:right w:val="none" w:sz="0" w:space="0" w:color="auto"/>
          </w:divBdr>
        </w:div>
        <w:div w:id="2059350731">
          <w:marLeft w:val="360"/>
          <w:marRight w:val="0"/>
          <w:marTop w:val="200"/>
          <w:marBottom w:val="0"/>
          <w:divBdr>
            <w:top w:val="none" w:sz="0" w:space="0" w:color="auto"/>
            <w:left w:val="none" w:sz="0" w:space="0" w:color="auto"/>
            <w:bottom w:val="none" w:sz="0" w:space="0" w:color="auto"/>
            <w:right w:val="none" w:sz="0" w:space="0" w:color="auto"/>
          </w:divBdr>
        </w:div>
      </w:divsChild>
    </w:div>
    <w:div w:id="872302390">
      <w:bodyDiv w:val="1"/>
      <w:marLeft w:val="0"/>
      <w:marRight w:val="0"/>
      <w:marTop w:val="0"/>
      <w:marBottom w:val="0"/>
      <w:divBdr>
        <w:top w:val="none" w:sz="0" w:space="0" w:color="auto"/>
        <w:left w:val="none" w:sz="0" w:space="0" w:color="auto"/>
        <w:bottom w:val="none" w:sz="0" w:space="0" w:color="auto"/>
        <w:right w:val="none" w:sz="0" w:space="0" w:color="auto"/>
      </w:divBdr>
      <w:divsChild>
        <w:div w:id="353966070">
          <w:marLeft w:val="360"/>
          <w:marRight w:val="0"/>
          <w:marTop w:val="200"/>
          <w:marBottom w:val="0"/>
          <w:divBdr>
            <w:top w:val="none" w:sz="0" w:space="0" w:color="auto"/>
            <w:left w:val="none" w:sz="0" w:space="0" w:color="auto"/>
            <w:bottom w:val="none" w:sz="0" w:space="0" w:color="auto"/>
            <w:right w:val="none" w:sz="0" w:space="0" w:color="auto"/>
          </w:divBdr>
        </w:div>
        <w:div w:id="1076318882">
          <w:marLeft w:val="360"/>
          <w:marRight w:val="0"/>
          <w:marTop w:val="200"/>
          <w:marBottom w:val="0"/>
          <w:divBdr>
            <w:top w:val="none" w:sz="0" w:space="0" w:color="auto"/>
            <w:left w:val="none" w:sz="0" w:space="0" w:color="auto"/>
            <w:bottom w:val="none" w:sz="0" w:space="0" w:color="auto"/>
            <w:right w:val="none" w:sz="0" w:space="0" w:color="auto"/>
          </w:divBdr>
        </w:div>
        <w:div w:id="1165126309">
          <w:marLeft w:val="360"/>
          <w:marRight w:val="0"/>
          <w:marTop w:val="200"/>
          <w:marBottom w:val="0"/>
          <w:divBdr>
            <w:top w:val="none" w:sz="0" w:space="0" w:color="auto"/>
            <w:left w:val="none" w:sz="0" w:space="0" w:color="auto"/>
            <w:bottom w:val="none" w:sz="0" w:space="0" w:color="auto"/>
            <w:right w:val="none" w:sz="0" w:space="0" w:color="auto"/>
          </w:divBdr>
        </w:div>
        <w:div w:id="1311209247">
          <w:marLeft w:val="360"/>
          <w:marRight w:val="0"/>
          <w:marTop w:val="200"/>
          <w:marBottom w:val="0"/>
          <w:divBdr>
            <w:top w:val="none" w:sz="0" w:space="0" w:color="auto"/>
            <w:left w:val="none" w:sz="0" w:space="0" w:color="auto"/>
            <w:bottom w:val="none" w:sz="0" w:space="0" w:color="auto"/>
            <w:right w:val="none" w:sz="0" w:space="0" w:color="auto"/>
          </w:divBdr>
        </w:div>
      </w:divsChild>
    </w:div>
    <w:div w:id="956595393">
      <w:bodyDiv w:val="1"/>
      <w:marLeft w:val="0"/>
      <w:marRight w:val="0"/>
      <w:marTop w:val="0"/>
      <w:marBottom w:val="0"/>
      <w:divBdr>
        <w:top w:val="none" w:sz="0" w:space="0" w:color="auto"/>
        <w:left w:val="none" w:sz="0" w:space="0" w:color="auto"/>
        <w:bottom w:val="none" w:sz="0" w:space="0" w:color="auto"/>
        <w:right w:val="none" w:sz="0" w:space="0" w:color="auto"/>
      </w:divBdr>
    </w:div>
    <w:div w:id="973220273">
      <w:bodyDiv w:val="1"/>
      <w:marLeft w:val="0"/>
      <w:marRight w:val="0"/>
      <w:marTop w:val="0"/>
      <w:marBottom w:val="0"/>
      <w:divBdr>
        <w:top w:val="none" w:sz="0" w:space="0" w:color="auto"/>
        <w:left w:val="none" w:sz="0" w:space="0" w:color="auto"/>
        <w:bottom w:val="none" w:sz="0" w:space="0" w:color="auto"/>
        <w:right w:val="none" w:sz="0" w:space="0" w:color="auto"/>
      </w:divBdr>
    </w:div>
    <w:div w:id="1049307377">
      <w:bodyDiv w:val="1"/>
      <w:marLeft w:val="0"/>
      <w:marRight w:val="0"/>
      <w:marTop w:val="0"/>
      <w:marBottom w:val="0"/>
      <w:divBdr>
        <w:top w:val="none" w:sz="0" w:space="0" w:color="auto"/>
        <w:left w:val="none" w:sz="0" w:space="0" w:color="auto"/>
        <w:bottom w:val="none" w:sz="0" w:space="0" w:color="auto"/>
        <w:right w:val="none" w:sz="0" w:space="0" w:color="auto"/>
      </w:divBdr>
    </w:div>
    <w:div w:id="1123420444">
      <w:bodyDiv w:val="1"/>
      <w:marLeft w:val="0"/>
      <w:marRight w:val="0"/>
      <w:marTop w:val="0"/>
      <w:marBottom w:val="0"/>
      <w:divBdr>
        <w:top w:val="none" w:sz="0" w:space="0" w:color="auto"/>
        <w:left w:val="none" w:sz="0" w:space="0" w:color="auto"/>
        <w:bottom w:val="none" w:sz="0" w:space="0" w:color="auto"/>
        <w:right w:val="none" w:sz="0" w:space="0" w:color="auto"/>
      </w:divBdr>
      <w:divsChild>
        <w:div w:id="17437074">
          <w:marLeft w:val="360"/>
          <w:marRight w:val="0"/>
          <w:marTop w:val="200"/>
          <w:marBottom w:val="0"/>
          <w:divBdr>
            <w:top w:val="none" w:sz="0" w:space="0" w:color="auto"/>
            <w:left w:val="none" w:sz="0" w:space="0" w:color="auto"/>
            <w:bottom w:val="none" w:sz="0" w:space="0" w:color="auto"/>
            <w:right w:val="none" w:sz="0" w:space="0" w:color="auto"/>
          </w:divBdr>
        </w:div>
        <w:div w:id="580453608">
          <w:marLeft w:val="360"/>
          <w:marRight w:val="0"/>
          <w:marTop w:val="200"/>
          <w:marBottom w:val="0"/>
          <w:divBdr>
            <w:top w:val="none" w:sz="0" w:space="0" w:color="auto"/>
            <w:left w:val="none" w:sz="0" w:space="0" w:color="auto"/>
            <w:bottom w:val="none" w:sz="0" w:space="0" w:color="auto"/>
            <w:right w:val="none" w:sz="0" w:space="0" w:color="auto"/>
          </w:divBdr>
        </w:div>
        <w:div w:id="1422027422">
          <w:marLeft w:val="360"/>
          <w:marRight w:val="0"/>
          <w:marTop w:val="200"/>
          <w:marBottom w:val="0"/>
          <w:divBdr>
            <w:top w:val="none" w:sz="0" w:space="0" w:color="auto"/>
            <w:left w:val="none" w:sz="0" w:space="0" w:color="auto"/>
            <w:bottom w:val="none" w:sz="0" w:space="0" w:color="auto"/>
            <w:right w:val="none" w:sz="0" w:space="0" w:color="auto"/>
          </w:divBdr>
        </w:div>
      </w:divsChild>
    </w:div>
    <w:div w:id="1182206844">
      <w:bodyDiv w:val="1"/>
      <w:marLeft w:val="0"/>
      <w:marRight w:val="0"/>
      <w:marTop w:val="0"/>
      <w:marBottom w:val="0"/>
      <w:divBdr>
        <w:top w:val="none" w:sz="0" w:space="0" w:color="auto"/>
        <w:left w:val="none" w:sz="0" w:space="0" w:color="auto"/>
        <w:bottom w:val="none" w:sz="0" w:space="0" w:color="auto"/>
        <w:right w:val="none" w:sz="0" w:space="0" w:color="auto"/>
      </w:divBdr>
      <w:divsChild>
        <w:div w:id="739250149">
          <w:marLeft w:val="360"/>
          <w:marRight w:val="0"/>
          <w:marTop w:val="200"/>
          <w:marBottom w:val="0"/>
          <w:divBdr>
            <w:top w:val="none" w:sz="0" w:space="0" w:color="auto"/>
            <w:left w:val="none" w:sz="0" w:space="0" w:color="auto"/>
            <w:bottom w:val="none" w:sz="0" w:space="0" w:color="auto"/>
            <w:right w:val="none" w:sz="0" w:space="0" w:color="auto"/>
          </w:divBdr>
        </w:div>
        <w:div w:id="1479804038">
          <w:marLeft w:val="360"/>
          <w:marRight w:val="0"/>
          <w:marTop w:val="200"/>
          <w:marBottom w:val="0"/>
          <w:divBdr>
            <w:top w:val="none" w:sz="0" w:space="0" w:color="auto"/>
            <w:left w:val="none" w:sz="0" w:space="0" w:color="auto"/>
            <w:bottom w:val="none" w:sz="0" w:space="0" w:color="auto"/>
            <w:right w:val="none" w:sz="0" w:space="0" w:color="auto"/>
          </w:divBdr>
        </w:div>
        <w:div w:id="1735540351">
          <w:marLeft w:val="360"/>
          <w:marRight w:val="0"/>
          <w:marTop w:val="200"/>
          <w:marBottom w:val="0"/>
          <w:divBdr>
            <w:top w:val="none" w:sz="0" w:space="0" w:color="auto"/>
            <w:left w:val="none" w:sz="0" w:space="0" w:color="auto"/>
            <w:bottom w:val="none" w:sz="0" w:space="0" w:color="auto"/>
            <w:right w:val="none" w:sz="0" w:space="0" w:color="auto"/>
          </w:divBdr>
        </w:div>
        <w:div w:id="1814717130">
          <w:marLeft w:val="360"/>
          <w:marRight w:val="0"/>
          <w:marTop w:val="200"/>
          <w:marBottom w:val="0"/>
          <w:divBdr>
            <w:top w:val="none" w:sz="0" w:space="0" w:color="auto"/>
            <w:left w:val="none" w:sz="0" w:space="0" w:color="auto"/>
            <w:bottom w:val="none" w:sz="0" w:space="0" w:color="auto"/>
            <w:right w:val="none" w:sz="0" w:space="0" w:color="auto"/>
          </w:divBdr>
        </w:div>
      </w:divsChild>
    </w:div>
    <w:div w:id="1553271504">
      <w:bodyDiv w:val="1"/>
      <w:marLeft w:val="0"/>
      <w:marRight w:val="0"/>
      <w:marTop w:val="0"/>
      <w:marBottom w:val="0"/>
      <w:divBdr>
        <w:top w:val="none" w:sz="0" w:space="0" w:color="auto"/>
        <w:left w:val="none" w:sz="0" w:space="0" w:color="auto"/>
        <w:bottom w:val="none" w:sz="0" w:space="0" w:color="auto"/>
        <w:right w:val="none" w:sz="0" w:space="0" w:color="auto"/>
      </w:divBdr>
      <w:divsChild>
        <w:div w:id="453330590">
          <w:marLeft w:val="360"/>
          <w:marRight w:val="0"/>
          <w:marTop w:val="200"/>
          <w:marBottom w:val="0"/>
          <w:divBdr>
            <w:top w:val="none" w:sz="0" w:space="0" w:color="auto"/>
            <w:left w:val="none" w:sz="0" w:space="0" w:color="auto"/>
            <w:bottom w:val="none" w:sz="0" w:space="0" w:color="auto"/>
            <w:right w:val="none" w:sz="0" w:space="0" w:color="auto"/>
          </w:divBdr>
        </w:div>
        <w:div w:id="1332681582">
          <w:marLeft w:val="360"/>
          <w:marRight w:val="0"/>
          <w:marTop w:val="200"/>
          <w:marBottom w:val="0"/>
          <w:divBdr>
            <w:top w:val="none" w:sz="0" w:space="0" w:color="auto"/>
            <w:left w:val="none" w:sz="0" w:space="0" w:color="auto"/>
            <w:bottom w:val="none" w:sz="0" w:space="0" w:color="auto"/>
            <w:right w:val="none" w:sz="0" w:space="0" w:color="auto"/>
          </w:divBdr>
        </w:div>
        <w:div w:id="1358433877">
          <w:marLeft w:val="360"/>
          <w:marRight w:val="0"/>
          <w:marTop w:val="200"/>
          <w:marBottom w:val="0"/>
          <w:divBdr>
            <w:top w:val="none" w:sz="0" w:space="0" w:color="auto"/>
            <w:left w:val="none" w:sz="0" w:space="0" w:color="auto"/>
            <w:bottom w:val="none" w:sz="0" w:space="0" w:color="auto"/>
            <w:right w:val="none" w:sz="0" w:space="0" w:color="auto"/>
          </w:divBdr>
        </w:div>
        <w:div w:id="1613365848">
          <w:marLeft w:val="360"/>
          <w:marRight w:val="0"/>
          <w:marTop w:val="200"/>
          <w:marBottom w:val="0"/>
          <w:divBdr>
            <w:top w:val="none" w:sz="0" w:space="0" w:color="auto"/>
            <w:left w:val="none" w:sz="0" w:space="0" w:color="auto"/>
            <w:bottom w:val="none" w:sz="0" w:space="0" w:color="auto"/>
            <w:right w:val="none" w:sz="0" w:space="0" w:color="auto"/>
          </w:divBdr>
        </w:div>
      </w:divsChild>
    </w:div>
    <w:div w:id="1567303550">
      <w:bodyDiv w:val="1"/>
      <w:marLeft w:val="0"/>
      <w:marRight w:val="0"/>
      <w:marTop w:val="0"/>
      <w:marBottom w:val="0"/>
      <w:divBdr>
        <w:top w:val="none" w:sz="0" w:space="0" w:color="auto"/>
        <w:left w:val="none" w:sz="0" w:space="0" w:color="auto"/>
        <w:bottom w:val="none" w:sz="0" w:space="0" w:color="auto"/>
        <w:right w:val="none" w:sz="0" w:space="0" w:color="auto"/>
      </w:divBdr>
      <w:divsChild>
        <w:div w:id="1602641957">
          <w:marLeft w:val="547"/>
          <w:marRight w:val="0"/>
          <w:marTop w:val="0"/>
          <w:marBottom w:val="0"/>
          <w:divBdr>
            <w:top w:val="none" w:sz="0" w:space="0" w:color="auto"/>
            <w:left w:val="none" w:sz="0" w:space="0" w:color="auto"/>
            <w:bottom w:val="none" w:sz="0" w:space="0" w:color="auto"/>
            <w:right w:val="none" w:sz="0" w:space="0" w:color="auto"/>
          </w:divBdr>
        </w:div>
        <w:div w:id="1032456309">
          <w:marLeft w:val="547"/>
          <w:marRight w:val="0"/>
          <w:marTop w:val="0"/>
          <w:marBottom w:val="0"/>
          <w:divBdr>
            <w:top w:val="none" w:sz="0" w:space="0" w:color="auto"/>
            <w:left w:val="none" w:sz="0" w:space="0" w:color="auto"/>
            <w:bottom w:val="none" w:sz="0" w:space="0" w:color="auto"/>
            <w:right w:val="none" w:sz="0" w:space="0" w:color="auto"/>
          </w:divBdr>
        </w:div>
        <w:div w:id="1799687593">
          <w:marLeft w:val="547"/>
          <w:marRight w:val="0"/>
          <w:marTop w:val="0"/>
          <w:marBottom w:val="0"/>
          <w:divBdr>
            <w:top w:val="none" w:sz="0" w:space="0" w:color="auto"/>
            <w:left w:val="none" w:sz="0" w:space="0" w:color="auto"/>
            <w:bottom w:val="none" w:sz="0" w:space="0" w:color="auto"/>
            <w:right w:val="none" w:sz="0" w:space="0" w:color="auto"/>
          </w:divBdr>
        </w:div>
        <w:div w:id="811479770">
          <w:marLeft w:val="547"/>
          <w:marRight w:val="0"/>
          <w:marTop w:val="0"/>
          <w:marBottom w:val="0"/>
          <w:divBdr>
            <w:top w:val="none" w:sz="0" w:space="0" w:color="auto"/>
            <w:left w:val="none" w:sz="0" w:space="0" w:color="auto"/>
            <w:bottom w:val="none" w:sz="0" w:space="0" w:color="auto"/>
            <w:right w:val="none" w:sz="0" w:space="0" w:color="auto"/>
          </w:divBdr>
        </w:div>
      </w:divsChild>
    </w:div>
    <w:div w:id="1610237793">
      <w:bodyDiv w:val="1"/>
      <w:marLeft w:val="0"/>
      <w:marRight w:val="0"/>
      <w:marTop w:val="0"/>
      <w:marBottom w:val="0"/>
      <w:divBdr>
        <w:top w:val="none" w:sz="0" w:space="0" w:color="auto"/>
        <w:left w:val="none" w:sz="0" w:space="0" w:color="auto"/>
        <w:bottom w:val="none" w:sz="0" w:space="0" w:color="auto"/>
        <w:right w:val="none" w:sz="0" w:space="0" w:color="auto"/>
      </w:divBdr>
    </w:div>
    <w:div w:id="1675956712">
      <w:bodyDiv w:val="1"/>
      <w:marLeft w:val="0"/>
      <w:marRight w:val="0"/>
      <w:marTop w:val="0"/>
      <w:marBottom w:val="0"/>
      <w:divBdr>
        <w:top w:val="none" w:sz="0" w:space="0" w:color="auto"/>
        <w:left w:val="none" w:sz="0" w:space="0" w:color="auto"/>
        <w:bottom w:val="none" w:sz="0" w:space="0" w:color="auto"/>
        <w:right w:val="none" w:sz="0" w:space="0" w:color="auto"/>
      </w:divBdr>
      <w:divsChild>
        <w:div w:id="245311240">
          <w:marLeft w:val="360"/>
          <w:marRight w:val="0"/>
          <w:marTop w:val="200"/>
          <w:marBottom w:val="0"/>
          <w:divBdr>
            <w:top w:val="none" w:sz="0" w:space="0" w:color="auto"/>
            <w:left w:val="none" w:sz="0" w:space="0" w:color="auto"/>
            <w:bottom w:val="none" w:sz="0" w:space="0" w:color="auto"/>
            <w:right w:val="none" w:sz="0" w:space="0" w:color="auto"/>
          </w:divBdr>
        </w:div>
        <w:div w:id="668870853">
          <w:marLeft w:val="360"/>
          <w:marRight w:val="0"/>
          <w:marTop w:val="200"/>
          <w:marBottom w:val="0"/>
          <w:divBdr>
            <w:top w:val="none" w:sz="0" w:space="0" w:color="auto"/>
            <w:left w:val="none" w:sz="0" w:space="0" w:color="auto"/>
            <w:bottom w:val="none" w:sz="0" w:space="0" w:color="auto"/>
            <w:right w:val="none" w:sz="0" w:space="0" w:color="auto"/>
          </w:divBdr>
        </w:div>
        <w:div w:id="1293052239">
          <w:marLeft w:val="360"/>
          <w:marRight w:val="0"/>
          <w:marTop w:val="200"/>
          <w:marBottom w:val="0"/>
          <w:divBdr>
            <w:top w:val="none" w:sz="0" w:space="0" w:color="auto"/>
            <w:left w:val="none" w:sz="0" w:space="0" w:color="auto"/>
            <w:bottom w:val="none" w:sz="0" w:space="0" w:color="auto"/>
            <w:right w:val="none" w:sz="0" w:space="0" w:color="auto"/>
          </w:divBdr>
        </w:div>
      </w:divsChild>
    </w:div>
    <w:div w:id="2042247069">
      <w:bodyDiv w:val="1"/>
      <w:marLeft w:val="0"/>
      <w:marRight w:val="0"/>
      <w:marTop w:val="0"/>
      <w:marBottom w:val="0"/>
      <w:divBdr>
        <w:top w:val="none" w:sz="0" w:space="0" w:color="auto"/>
        <w:left w:val="none" w:sz="0" w:space="0" w:color="auto"/>
        <w:bottom w:val="none" w:sz="0" w:space="0" w:color="auto"/>
        <w:right w:val="none" w:sz="0" w:space="0" w:color="auto"/>
      </w:divBdr>
      <w:divsChild>
        <w:div w:id="410933114">
          <w:marLeft w:val="360"/>
          <w:marRight w:val="0"/>
          <w:marTop w:val="200"/>
          <w:marBottom w:val="0"/>
          <w:divBdr>
            <w:top w:val="none" w:sz="0" w:space="0" w:color="auto"/>
            <w:left w:val="none" w:sz="0" w:space="0" w:color="auto"/>
            <w:bottom w:val="none" w:sz="0" w:space="0" w:color="auto"/>
            <w:right w:val="none" w:sz="0" w:space="0" w:color="auto"/>
          </w:divBdr>
        </w:div>
        <w:div w:id="514081444">
          <w:marLeft w:val="360"/>
          <w:marRight w:val="0"/>
          <w:marTop w:val="200"/>
          <w:marBottom w:val="0"/>
          <w:divBdr>
            <w:top w:val="none" w:sz="0" w:space="0" w:color="auto"/>
            <w:left w:val="none" w:sz="0" w:space="0" w:color="auto"/>
            <w:bottom w:val="none" w:sz="0" w:space="0" w:color="auto"/>
            <w:right w:val="none" w:sz="0" w:space="0" w:color="auto"/>
          </w:divBdr>
        </w:div>
        <w:div w:id="754130638">
          <w:marLeft w:val="360"/>
          <w:marRight w:val="0"/>
          <w:marTop w:val="200"/>
          <w:marBottom w:val="0"/>
          <w:divBdr>
            <w:top w:val="none" w:sz="0" w:space="0" w:color="auto"/>
            <w:left w:val="none" w:sz="0" w:space="0" w:color="auto"/>
            <w:bottom w:val="none" w:sz="0" w:space="0" w:color="auto"/>
            <w:right w:val="none" w:sz="0" w:space="0" w:color="auto"/>
          </w:divBdr>
        </w:div>
        <w:div w:id="1655330540">
          <w:marLeft w:val="360"/>
          <w:marRight w:val="0"/>
          <w:marTop w:val="200"/>
          <w:marBottom w:val="0"/>
          <w:divBdr>
            <w:top w:val="none" w:sz="0" w:space="0" w:color="auto"/>
            <w:left w:val="none" w:sz="0" w:space="0" w:color="auto"/>
            <w:bottom w:val="none" w:sz="0" w:space="0" w:color="auto"/>
            <w:right w:val="none" w:sz="0" w:space="0" w:color="auto"/>
          </w:divBdr>
        </w:div>
        <w:div w:id="1749843910">
          <w:marLeft w:val="360"/>
          <w:marRight w:val="0"/>
          <w:marTop w:val="200"/>
          <w:marBottom w:val="0"/>
          <w:divBdr>
            <w:top w:val="none" w:sz="0" w:space="0" w:color="auto"/>
            <w:left w:val="none" w:sz="0" w:space="0" w:color="auto"/>
            <w:bottom w:val="none" w:sz="0" w:space="0" w:color="auto"/>
            <w:right w:val="none" w:sz="0" w:space="0" w:color="auto"/>
          </w:divBdr>
        </w:div>
        <w:div w:id="1848443178">
          <w:marLeft w:val="360"/>
          <w:marRight w:val="0"/>
          <w:marTop w:val="200"/>
          <w:marBottom w:val="0"/>
          <w:divBdr>
            <w:top w:val="none" w:sz="0" w:space="0" w:color="auto"/>
            <w:left w:val="none" w:sz="0" w:space="0" w:color="auto"/>
            <w:bottom w:val="none" w:sz="0" w:space="0" w:color="auto"/>
            <w:right w:val="none" w:sz="0" w:space="0" w:color="auto"/>
          </w:divBdr>
        </w:div>
        <w:div w:id="1934126031">
          <w:marLeft w:val="360"/>
          <w:marRight w:val="0"/>
          <w:marTop w:val="200"/>
          <w:marBottom w:val="0"/>
          <w:divBdr>
            <w:top w:val="none" w:sz="0" w:space="0" w:color="auto"/>
            <w:left w:val="none" w:sz="0" w:space="0" w:color="auto"/>
            <w:bottom w:val="none" w:sz="0" w:space="0" w:color="auto"/>
            <w:right w:val="none" w:sz="0" w:space="0" w:color="auto"/>
          </w:divBdr>
        </w:div>
        <w:div w:id="2104839315">
          <w:marLeft w:val="360"/>
          <w:marRight w:val="0"/>
          <w:marTop w:val="200"/>
          <w:marBottom w:val="0"/>
          <w:divBdr>
            <w:top w:val="none" w:sz="0" w:space="0" w:color="auto"/>
            <w:left w:val="none" w:sz="0" w:space="0" w:color="auto"/>
            <w:bottom w:val="none" w:sz="0" w:space="0" w:color="auto"/>
            <w:right w:val="none" w:sz="0" w:space="0" w:color="auto"/>
          </w:divBdr>
        </w:div>
      </w:divsChild>
    </w:div>
    <w:div w:id="2053576470">
      <w:bodyDiv w:val="1"/>
      <w:marLeft w:val="0"/>
      <w:marRight w:val="0"/>
      <w:marTop w:val="0"/>
      <w:marBottom w:val="0"/>
      <w:divBdr>
        <w:top w:val="none" w:sz="0" w:space="0" w:color="auto"/>
        <w:left w:val="none" w:sz="0" w:space="0" w:color="auto"/>
        <w:bottom w:val="none" w:sz="0" w:space="0" w:color="auto"/>
        <w:right w:val="none" w:sz="0" w:space="0" w:color="auto"/>
      </w:divBdr>
      <w:divsChild>
        <w:div w:id="562565234">
          <w:marLeft w:val="360"/>
          <w:marRight w:val="0"/>
          <w:marTop w:val="200"/>
          <w:marBottom w:val="0"/>
          <w:divBdr>
            <w:top w:val="none" w:sz="0" w:space="0" w:color="auto"/>
            <w:left w:val="none" w:sz="0" w:space="0" w:color="auto"/>
            <w:bottom w:val="none" w:sz="0" w:space="0" w:color="auto"/>
            <w:right w:val="none" w:sz="0" w:space="0" w:color="auto"/>
          </w:divBdr>
        </w:div>
        <w:div w:id="637996822">
          <w:marLeft w:val="360"/>
          <w:marRight w:val="0"/>
          <w:marTop w:val="200"/>
          <w:marBottom w:val="0"/>
          <w:divBdr>
            <w:top w:val="none" w:sz="0" w:space="0" w:color="auto"/>
            <w:left w:val="none" w:sz="0" w:space="0" w:color="auto"/>
            <w:bottom w:val="none" w:sz="0" w:space="0" w:color="auto"/>
            <w:right w:val="none" w:sz="0" w:space="0" w:color="auto"/>
          </w:divBdr>
        </w:div>
        <w:div w:id="879167665">
          <w:marLeft w:val="360"/>
          <w:marRight w:val="0"/>
          <w:marTop w:val="200"/>
          <w:marBottom w:val="0"/>
          <w:divBdr>
            <w:top w:val="none" w:sz="0" w:space="0" w:color="auto"/>
            <w:left w:val="none" w:sz="0" w:space="0" w:color="auto"/>
            <w:bottom w:val="none" w:sz="0" w:space="0" w:color="auto"/>
            <w:right w:val="none" w:sz="0" w:space="0" w:color="auto"/>
          </w:divBdr>
        </w:div>
        <w:div w:id="1775175190">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diagramColors" Target="diagrams/colors1.xml"/><Relationship Id="rId39" Type="http://schemas.openxmlformats.org/officeDocument/2006/relationships/hyperlink" Target="https://www.easternhealth.org.au/images/Engaging_Men-_Reducing_Resistance_and_Building_Support_final.pdf" TargetMode="External"/><Relationship Id="rId21" Type="http://schemas.openxmlformats.org/officeDocument/2006/relationships/image" Target="media/image4.png"/><Relationship Id="rId34" Type="http://schemas.openxmlformats.org/officeDocument/2006/relationships/image" Target="media/image7.png"/><Relationship Id="rId42" Type="http://schemas.openxmlformats.org/officeDocument/2006/relationships/hyperlink" Target="https://www.vichealth.vic.gov.au/-/media/ProgramsandProjects/HealthInequalities/VicHealth-Framing-masculinity-message-guide-2020.pdf" TargetMode="External"/><Relationship Id="rId47" Type="http://schemas.openxmlformats.org/officeDocument/2006/relationships/hyperlink" Target="https://www.opendemocracy.net/en/5050/feminism-is-cancer-mens-rights-activists-online-backlash/" TargetMode="External"/><Relationship Id="rId50" Type="http://schemas.openxmlformats.org/officeDocument/2006/relationships/hyperlink" Target="https://www.theguardian.com/commentisfree/2019/sep/19/i-believed-the-family-court-system-was-bias-against-fathers-then-i-found-the-rot-at-the-core-of-it" TargetMode="External"/><Relationship Id="rId55" Type="http://schemas.openxmlformats.org/officeDocument/2006/relationships/hyperlink" Target="https://whwest.org.au/resource/speaking-publicly-about-preventing-mens-violence-against-wome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QuickStyle" Target="diagrams/quickStyle1.xml"/><Relationship Id="rId33" Type="http://schemas.openxmlformats.org/officeDocument/2006/relationships/image" Target="media/image6.png"/><Relationship Id="rId38" Type="http://schemas.openxmlformats.org/officeDocument/2006/relationships/hyperlink" Target="https://cew.org.au/wp-content/uploads/2018/07/MCC-CEW-Backlash-and-Buy-in.pdf" TargetMode="External"/><Relationship Id="rId46" Type="http://schemas.openxmlformats.org/officeDocument/2006/relationships/hyperlink" Target="https://www.respectvictoria.vic.gov.au/sites/default/files/documents/202008/Resource%207_AnsweringBacklash.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diagramLayout" Target="diagrams/layout2.xml"/><Relationship Id="rId41" Type="http://schemas.openxmlformats.org/officeDocument/2006/relationships/hyperlink" Target="https://www.vichealth.vic.gov.au/-/media/ResourceCentre/PublicationsandResources/Mental-health/Framing-gender-equality---Message-guide.pdf?la=en&amp;hash=AF111835871BFA3092C1F9DD98B3C8AA0E493295" TargetMode="External"/><Relationship Id="rId54" Type="http://schemas.openxmlformats.org/officeDocument/2006/relationships/hyperlink" Target="https://blogs.prio.org/2019/03/this-is-not-us-and-yet-it-is-us-why-gendered-analysis-of-terrorism-is-sorely-need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image" Target="media/image10.png"/><Relationship Id="rId40" Type="http://schemas.openxmlformats.org/officeDocument/2006/relationships/hyperlink" Target="https://cofemsocialchange.org/feminist-pocketbook/feminist-pocketbook-tip-sheets/" TargetMode="External"/><Relationship Id="rId45" Type="http://schemas.openxmlformats.org/officeDocument/2006/relationships/hyperlink" Target="https://whwest.org.au/resource/speaking-publicly-about-preventing-mens-violence-against-women/" TargetMode="External"/><Relationship Id="rId53" Type="http://schemas.openxmlformats.org/officeDocument/2006/relationships/hyperlink" Target="https://www.teachusconsent.co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image" Target="media/image9.png"/><Relationship Id="rId49" Type="http://schemas.openxmlformats.org/officeDocument/2006/relationships/hyperlink" Target="https://www.festa-europa.eu/sites/festa-europa.eu/files/FESTA%20D7.1%20Handbook%20on%20Resistance%20to%20Gender%20Equality%20in%20Academia.pdf"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diagramColors" Target="diagrams/colors2.xml"/><Relationship Id="rId44" Type="http://schemas.openxmlformats.org/officeDocument/2006/relationships/hyperlink" Target="https://www.partnersinprevention.org.au/resources/responding-to-resistance/" TargetMode="External"/><Relationship Id="rId52" Type="http://schemas.openxmlformats.org/officeDocument/2006/relationships/hyperlink" Target="https://www.partnersinprevention.org.au/resources/responding-to-resist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image" Target="media/image8.png"/><Relationship Id="rId43" Type="http://schemas.openxmlformats.org/officeDocument/2006/relationships/hyperlink" Target="https://workplace.ourwatch.org.au/resource/practice-guidance-dealing-with-backlash/" TargetMode="External"/><Relationship Id="rId48" Type="http://schemas.openxmlformats.org/officeDocument/2006/relationships/hyperlink" Target="https://cofemsocialchange.org/wp-content/uploads/2018/11/TS9-Backlash-What-is-it-and-how-do-we-address-it-safely.pdf"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ipa.org.au/publications-ipa/please-welcome-victorias-first-public-sector-gender-equality-commissioner" TargetMode="Externa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ourwatch.org.au/quick-facts/" TargetMode="External"/><Relationship Id="rId3" Type="http://schemas.openxmlformats.org/officeDocument/2006/relationships/hyperlink" Target="https://www.wgea.gov.au/what-we-do/compliance-reporting/non-compliant-list" TargetMode="External"/><Relationship Id="rId7" Type="http://schemas.openxmlformats.org/officeDocument/2006/relationships/hyperlink" Target="https://workplace.ourwatch.org.au/resource/workplace-equality-and-respect-key-progress-indicators/" TargetMode="External"/><Relationship Id="rId2" Type="http://schemas.openxmlformats.org/officeDocument/2006/relationships/hyperlink" Target="https://www.wgea.gov.au/what-we-do/compliance-reporting/non-compliant-list" TargetMode="External"/><Relationship Id="rId1" Type="http://schemas.openxmlformats.org/officeDocument/2006/relationships/hyperlink" Target="https://workplace.ourwatch.org.au" TargetMode="External"/><Relationship Id="rId6" Type="http://schemas.openxmlformats.org/officeDocument/2006/relationships/hyperlink" Target="https://workplace.ourwatch.org.au/what-is-workplace-equality-respect/" TargetMode="External"/><Relationship Id="rId5" Type="http://schemas.openxmlformats.org/officeDocument/2006/relationships/hyperlink" Target="https://workplace.ourwatch.org.au/resource/workplace-equality-and-respect-self-assessment-tool" TargetMode="External"/><Relationship Id="rId10" Type="http://schemas.openxmlformats.org/officeDocument/2006/relationships/hyperlink" Target="https://www.doingnothingdoesharm.org.au/how-to-do-something/" TargetMode="External"/><Relationship Id="rId4" Type="http://schemas.openxmlformats.org/officeDocument/2006/relationships/hyperlink" Target="https://workplace.ourwatch.org.au/tools-and-resources/engaging-leaders-and-securing-commitment/" TargetMode="External"/><Relationship Id="rId9" Type="http://schemas.openxmlformats.org/officeDocument/2006/relationships/hyperlink" Target="https://workplace.ourwatch.org.au/resource/practice-guidance-dealing-with-backlash"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E282FF-B704-5646-A2DD-760BF8860AF6}" type="doc">
      <dgm:prSet loTypeId="urn:microsoft.com/office/officeart/2008/layout/IncreasingCircleProcess" loCatId="" qsTypeId="urn:microsoft.com/office/officeart/2005/8/quickstyle/simple2" qsCatId="simple" csTypeId="urn:microsoft.com/office/officeart/2005/8/colors/colorful5" csCatId="colorful" phldr="1"/>
      <dgm:spPr/>
      <dgm:t>
        <a:bodyPr/>
        <a:lstStyle/>
        <a:p>
          <a:endParaRPr lang="en-GB"/>
        </a:p>
      </dgm:t>
    </dgm:pt>
    <dgm:pt modelId="{0DD18B02-8523-4B46-8083-2E8D51DF0FB2}">
      <dgm:prSet phldrT="[Text]" custT="1"/>
      <dgm:spPr/>
      <dgm:t>
        <a:bodyPr/>
        <a:lstStyle/>
        <a:p>
          <a:r>
            <a:rPr lang="en-GB" sz="1000" b="1"/>
            <a:t>Less effective approaches</a:t>
          </a:r>
        </a:p>
      </dgm:t>
    </dgm:pt>
    <dgm:pt modelId="{B201B03B-2DA4-3040-9B88-E3A512682689}" type="parTrans" cxnId="{074C17CF-9065-0543-99D4-807FBDED7132}">
      <dgm:prSet/>
      <dgm:spPr/>
      <dgm:t>
        <a:bodyPr/>
        <a:lstStyle/>
        <a:p>
          <a:endParaRPr lang="en-GB" sz="1000"/>
        </a:p>
      </dgm:t>
    </dgm:pt>
    <dgm:pt modelId="{B29E13BD-71D9-DD45-922A-C47BF214B76A}" type="sibTrans" cxnId="{074C17CF-9065-0543-99D4-807FBDED7132}">
      <dgm:prSet/>
      <dgm:spPr/>
      <dgm:t>
        <a:bodyPr/>
        <a:lstStyle/>
        <a:p>
          <a:endParaRPr lang="en-GB" sz="1000"/>
        </a:p>
      </dgm:t>
    </dgm:pt>
    <dgm:pt modelId="{4553ED67-278A-6B4C-BF6D-042E07F86FC3}">
      <dgm:prSet phldrT="[Text]" custT="1"/>
      <dgm:spPr/>
      <dgm:t>
        <a:bodyPr/>
        <a:lstStyle/>
        <a:p>
          <a:r>
            <a:rPr lang="en-GB" sz="1050"/>
            <a:t>For example:</a:t>
          </a:r>
        </a:p>
        <a:p>
          <a:r>
            <a:rPr lang="en-GB" sz="1050"/>
            <a:t>Bare minimum in responsibiities to gender equality </a:t>
          </a:r>
        </a:p>
        <a:p>
          <a:r>
            <a:rPr lang="en-GB" sz="1050"/>
            <a:t>Tokenestic inclusion of women</a:t>
          </a:r>
        </a:p>
      </dgm:t>
    </dgm:pt>
    <dgm:pt modelId="{B3D02EFC-EAFC-8E4D-87C5-074DF803F3CE}" type="sibTrans" cxnId="{0CA2A729-455D-8A41-A2A6-82646837E9A4}">
      <dgm:prSet/>
      <dgm:spPr/>
      <dgm:t>
        <a:bodyPr/>
        <a:lstStyle/>
        <a:p>
          <a:endParaRPr lang="en-GB" sz="1000"/>
        </a:p>
      </dgm:t>
    </dgm:pt>
    <dgm:pt modelId="{9CDB95B6-1785-5B45-BF90-14E0C832F551}" type="parTrans" cxnId="{0CA2A729-455D-8A41-A2A6-82646837E9A4}">
      <dgm:prSet/>
      <dgm:spPr/>
      <dgm:t>
        <a:bodyPr/>
        <a:lstStyle/>
        <a:p>
          <a:endParaRPr lang="en-GB" sz="1000"/>
        </a:p>
      </dgm:t>
    </dgm:pt>
    <dgm:pt modelId="{63323CA8-86FD-B745-87A5-C2D6AE962E31}">
      <dgm:prSet phldrT="[Text]" custT="1"/>
      <dgm:spPr/>
      <dgm:t>
        <a:bodyPr/>
        <a:lstStyle/>
        <a:p>
          <a:pPr algn="l"/>
          <a:r>
            <a:rPr lang="en-GB" sz="1050"/>
            <a:t>Actively challenges unequal gender norms</a:t>
          </a:r>
        </a:p>
      </dgm:t>
    </dgm:pt>
    <dgm:pt modelId="{C2F2E10E-D984-8340-ACAC-F9C60DC030F1}" type="sibTrans" cxnId="{2BC03CE8-032D-6D43-BE18-A45E6BAD432E}">
      <dgm:prSet/>
      <dgm:spPr/>
      <dgm:t>
        <a:bodyPr/>
        <a:lstStyle/>
        <a:p>
          <a:endParaRPr lang="en-GB" sz="1000"/>
        </a:p>
      </dgm:t>
    </dgm:pt>
    <dgm:pt modelId="{18689CB1-1E53-6041-AC1B-070B1E401B6D}" type="parTrans" cxnId="{2BC03CE8-032D-6D43-BE18-A45E6BAD432E}">
      <dgm:prSet/>
      <dgm:spPr/>
      <dgm:t>
        <a:bodyPr/>
        <a:lstStyle/>
        <a:p>
          <a:endParaRPr lang="en-GB" sz="1000"/>
        </a:p>
      </dgm:t>
    </dgm:pt>
    <dgm:pt modelId="{D8A371BE-58A9-5740-8D75-721AE30142D8}">
      <dgm:prSet phldrT="[Text]" custT="1"/>
      <dgm:spPr/>
      <dgm:t>
        <a:bodyPr/>
        <a:lstStyle/>
        <a:p>
          <a:r>
            <a:rPr lang="en-GB" sz="1050" b="1"/>
            <a:t>No consideration of gender, or reinforces gender (in)equalities</a:t>
          </a:r>
        </a:p>
      </dgm:t>
    </dgm:pt>
    <dgm:pt modelId="{4CE04339-1D47-4448-86A7-804079B8E7F2}" type="parTrans" cxnId="{F1C82E7D-01A9-0C4B-89E4-1758F97FA558}">
      <dgm:prSet/>
      <dgm:spPr/>
      <dgm:t>
        <a:bodyPr/>
        <a:lstStyle/>
        <a:p>
          <a:endParaRPr lang="en-GB" sz="1000"/>
        </a:p>
      </dgm:t>
    </dgm:pt>
    <dgm:pt modelId="{B8245564-170A-4846-B1AF-B0FDC806862A}" type="sibTrans" cxnId="{F1C82E7D-01A9-0C4B-89E4-1758F97FA558}">
      <dgm:prSet/>
      <dgm:spPr/>
      <dgm:t>
        <a:bodyPr/>
        <a:lstStyle/>
        <a:p>
          <a:endParaRPr lang="en-GB" sz="1000"/>
        </a:p>
      </dgm:t>
    </dgm:pt>
    <dgm:pt modelId="{2CB01D92-998E-3B4A-8B2E-B2B7A75A4409}">
      <dgm:prSet phldrT="[Text]" custT="1"/>
      <dgm:spPr/>
      <dgm:t>
        <a:bodyPr/>
        <a:lstStyle/>
        <a:p>
          <a:r>
            <a:rPr lang="en-GB" sz="1050"/>
            <a:t>'Tick box' approach</a:t>
          </a:r>
        </a:p>
      </dgm:t>
    </dgm:pt>
    <dgm:pt modelId="{B74A76E3-1A97-D94A-BC87-15025FF63FF5}" type="parTrans" cxnId="{0828AEF0-6DCA-AB47-8F90-830D9C69DA95}">
      <dgm:prSet/>
      <dgm:spPr/>
      <dgm:t>
        <a:bodyPr/>
        <a:lstStyle/>
        <a:p>
          <a:endParaRPr lang="en-GB" sz="1000"/>
        </a:p>
      </dgm:t>
    </dgm:pt>
    <dgm:pt modelId="{B8EA9920-D240-C44E-882E-E5396ADD5285}" type="sibTrans" cxnId="{0828AEF0-6DCA-AB47-8F90-830D9C69DA95}">
      <dgm:prSet/>
      <dgm:spPr/>
      <dgm:t>
        <a:bodyPr/>
        <a:lstStyle/>
        <a:p>
          <a:endParaRPr lang="en-GB" sz="1000"/>
        </a:p>
      </dgm:t>
    </dgm:pt>
    <dgm:pt modelId="{A915EC1F-34D5-0840-8D42-6BC8EB0061B9}">
      <dgm:prSet phldrT="[Text]" custT="1"/>
      <dgm:spPr/>
      <dgm:t>
        <a:bodyPr/>
        <a:lstStyle/>
        <a:p>
          <a:pPr algn="l"/>
          <a:r>
            <a:rPr lang="en-GB" sz="1050"/>
            <a:t>For example:</a:t>
          </a:r>
        </a:p>
      </dgm:t>
    </dgm:pt>
    <dgm:pt modelId="{11F5CBCA-4E3A-F949-AC8F-1EA07308258B}" type="parTrans" cxnId="{8F47FB1E-1702-9349-8F7D-2C5DFBB16BE2}">
      <dgm:prSet/>
      <dgm:spPr/>
      <dgm:t>
        <a:bodyPr/>
        <a:lstStyle/>
        <a:p>
          <a:endParaRPr lang="en-GB" sz="1000"/>
        </a:p>
      </dgm:t>
    </dgm:pt>
    <dgm:pt modelId="{57F2F94A-E59A-184E-9B5A-4A0520170E6E}" type="sibTrans" cxnId="{8F47FB1E-1702-9349-8F7D-2C5DFBB16BE2}">
      <dgm:prSet/>
      <dgm:spPr/>
      <dgm:t>
        <a:bodyPr/>
        <a:lstStyle/>
        <a:p>
          <a:endParaRPr lang="en-GB" sz="1000"/>
        </a:p>
      </dgm:t>
    </dgm:pt>
    <dgm:pt modelId="{2BCC35DE-1FD6-6546-AF3C-457F45EE8924}">
      <dgm:prSet phldrT="[Text]" custT="1"/>
      <dgm:spPr/>
      <dgm:t>
        <a:bodyPr/>
        <a:lstStyle/>
        <a:p>
          <a:pPr algn="l"/>
          <a:r>
            <a:rPr lang="en-GB" sz="1050"/>
            <a:t>Survivor centred, including established and accessible mechanisms for support.</a:t>
          </a:r>
        </a:p>
        <a:p>
          <a:pPr algn="l"/>
          <a:r>
            <a:rPr lang="en-GB" sz="1050"/>
            <a:t>Harm minimising strategies </a:t>
          </a:r>
        </a:p>
      </dgm:t>
    </dgm:pt>
    <dgm:pt modelId="{93233E5B-0EFA-EB40-997E-EBC0FE73D445}" type="parTrans" cxnId="{FD3EBFA0-61C1-D34A-828E-95C1C7840FA2}">
      <dgm:prSet/>
      <dgm:spPr/>
      <dgm:t>
        <a:bodyPr/>
        <a:lstStyle/>
        <a:p>
          <a:endParaRPr lang="en-GB" sz="1000"/>
        </a:p>
      </dgm:t>
    </dgm:pt>
    <dgm:pt modelId="{B47FED20-051C-A146-87C2-27739FDD8737}" type="sibTrans" cxnId="{FD3EBFA0-61C1-D34A-828E-95C1C7840FA2}">
      <dgm:prSet/>
      <dgm:spPr/>
      <dgm:t>
        <a:bodyPr/>
        <a:lstStyle/>
        <a:p>
          <a:endParaRPr lang="en-GB" sz="1000"/>
        </a:p>
      </dgm:t>
    </dgm:pt>
    <dgm:pt modelId="{C73372B7-3768-3B4B-A752-3027114CB6D1}">
      <dgm:prSet phldrT="[Text]" custT="1"/>
      <dgm:spPr/>
      <dgm:t>
        <a:bodyPr/>
        <a:lstStyle/>
        <a:p>
          <a:pPr algn="l"/>
          <a:r>
            <a:rPr lang="en-GB" sz="1050"/>
            <a:t>Regular quantiative and qualitative analysis of the state of gender inequality </a:t>
          </a:r>
          <a:r>
            <a:rPr lang="en-GB" sz="1050" i="0"/>
            <a:t>which is used to inform improvements to strategy</a:t>
          </a:r>
        </a:p>
      </dgm:t>
    </dgm:pt>
    <dgm:pt modelId="{99098419-2402-654C-9D2F-65D3D5924CF3}" type="parTrans" cxnId="{3A4BFBEE-6496-5C4C-BA8D-ED49EADF748A}">
      <dgm:prSet/>
      <dgm:spPr/>
      <dgm:t>
        <a:bodyPr/>
        <a:lstStyle/>
        <a:p>
          <a:endParaRPr lang="en-GB" sz="1000"/>
        </a:p>
      </dgm:t>
    </dgm:pt>
    <dgm:pt modelId="{3A31F835-6ADA-8B41-97CD-D0E9F111C473}" type="sibTrans" cxnId="{3A4BFBEE-6496-5C4C-BA8D-ED49EADF748A}">
      <dgm:prSet/>
      <dgm:spPr/>
      <dgm:t>
        <a:bodyPr/>
        <a:lstStyle/>
        <a:p>
          <a:endParaRPr lang="en-GB" sz="1000"/>
        </a:p>
      </dgm:t>
    </dgm:pt>
    <dgm:pt modelId="{4C5103D6-D90B-D443-842A-C3AD8F397873}">
      <dgm:prSet phldrT="[Text]" custT="1"/>
      <dgm:spPr/>
      <dgm:t>
        <a:bodyPr/>
        <a:lstStyle/>
        <a:p>
          <a:r>
            <a:rPr lang="en-GB" sz="1050"/>
            <a:t>Acknowledges gender norms, practices and structures but addresses them in ad hoc ways</a:t>
          </a:r>
        </a:p>
      </dgm:t>
    </dgm:pt>
    <dgm:pt modelId="{8D4933D6-ED21-FC4E-9C15-0AF55FC2673E}" type="parTrans" cxnId="{283239C5-35F6-3646-8F75-42237E1B88F6}">
      <dgm:prSet/>
      <dgm:spPr/>
      <dgm:t>
        <a:bodyPr/>
        <a:lstStyle/>
        <a:p>
          <a:endParaRPr lang="en-GB" sz="1000"/>
        </a:p>
      </dgm:t>
    </dgm:pt>
    <dgm:pt modelId="{F9F973F4-4546-C54D-8464-E438D19B8947}" type="sibTrans" cxnId="{283239C5-35F6-3646-8F75-42237E1B88F6}">
      <dgm:prSet/>
      <dgm:spPr/>
      <dgm:t>
        <a:bodyPr/>
        <a:lstStyle/>
        <a:p>
          <a:endParaRPr lang="en-GB" sz="1000"/>
        </a:p>
      </dgm:t>
    </dgm:pt>
    <dgm:pt modelId="{08838168-9B39-8B4F-B31C-48C1983EBBCC}">
      <dgm:prSet phldrT="[Text]" custT="1"/>
      <dgm:spPr/>
      <dgm:t>
        <a:bodyPr/>
        <a:lstStyle/>
        <a:p>
          <a:pPr algn="l"/>
          <a:r>
            <a:rPr lang="en-GB" sz="1050"/>
            <a:t>Intersectional approach </a:t>
          </a:r>
          <a:r>
            <a:rPr lang="en-GB" sz="1050" i="0"/>
            <a:t>to recognise and address intersecting forms of discrimination</a:t>
          </a:r>
        </a:p>
        <a:p>
          <a:pPr algn="l"/>
          <a:r>
            <a:rPr lang="en-GB" sz="1050"/>
            <a:t>Integration of primary prevention into institutional and organisational core business </a:t>
          </a:r>
        </a:p>
      </dgm:t>
    </dgm:pt>
    <dgm:pt modelId="{DC1EFB02-AF4C-9C4C-8F2B-BFC465F90697}" type="parTrans" cxnId="{823BC7F0-1CA8-164E-9001-BF2D78E8F265}">
      <dgm:prSet/>
      <dgm:spPr/>
      <dgm:t>
        <a:bodyPr/>
        <a:lstStyle/>
        <a:p>
          <a:endParaRPr lang="en-GB" sz="1000"/>
        </a:p>
      </dgm:t>
    </dgm:pt>
    <dgm:pt modelId="{14F7FB75-4BB7-AE4B-99D4-C269C0C3F2B9}" type="sibTrans" cxnId="{823BC7F0-1CA8-164E-9001-BF2D78E8F265}">
      <dgm:prSet/>
      <dgm:spPr/>
      <dgm:t>
        <a:bodyPr/>
        <a:lstStyle/>
        <a:p>
          <a:endParaRPr lang="en-GB" sz="1000"/>
        </a:p>
      </dgm:t>
    </dgm:pt>
    <dgm:pt modelId="{D26DD104-5817-FE4E-841B-27984BB41AC6}">
      <dgm:prSet phldrT="[Text]" custT="1"/>
      <dgm:spPr/>
      <dgm:t>
        <a:bodyPr/>
        <a:lstStyle/>
        <a:p>
          <a:r>
            <a:rPr lang="en-GB" sz="1050"/>
            <a:t>Perpetuates gender inequalities</a:t>
          </a:r>
        </a:p>
      </dgm:t>
    </dgm:pt>
    <dgm:pt modelId="{F17B1E27-1EF1-2447-9A5F-83E21FC61B67}" type="parTrans" cxnId="{C84208E4-2689-5645-9036-01501BF221A7}">
      <dgm:prSet/>
      <dgm:spPr/>
      <dgm:t>
        <a:bodyPr/>
        <a:lstStyle/>
        <a:p>
          <a:endParaRPr lang="en-GB" sz="1000"/>
        </a:p>
      </dgm:t>
    </dgm:pt>
    <dgm:pt modelId="{7A878243-73F6-C245-A85C-C8BD74011531}" type="sibTrans" cxnId="{C84208E4-2689-5645-9036-01501BF221A7}">
      <dgm:prSet/>
      <dgm:spPr/>
      <dgm:t>
        <a:bodyPr/>
        <a:lstStyle/>
        <a:p>
          <a:endParaRPr lang="en-GB" sz="1000"/>
        </a:p>
      </dgm:t>
    </dgm:pt>
    <dgm:pt modelId="{C3E9E31F-6C9E-5841-A2BA-068721369040}">
      <dgm:prSet phldrT="[Text]" custT="1"/>
      <dgm:spPr/>
      <dgm:t>
        <a:bodyPr/>
        <a:lstStyle/>
        <a:p>
          <a:r>
            <a:rPr lang="en-GB" sz="1050"/>
            <a:t>Ignores or denies the gendered drivers of violence</a:t>
          </a:r>
        </a:p>
      </dgm:t>
    </dgm:pt>
    <dgm:pt modelId="{427CAFB1-4996-E647-ABD8-BE7ABFB031ED}" type="parTrans" cxnId="{24E620EC-8EBE-7E46-B957-6910FD20909D}">
      <dgm:prSet/>
      <dgm:spPr/>
      <dgm:t>
        <a:bodyPr/>
        <a:lstStyle/>
        <a:p>
          <a:endParaRPr lang="en-GB" sz="1000"/>
        </a:p>
      </dgm:t>
    </dgm:pt>
    <dgm:pt modelId="{2D6EA1BC-2BA7-B440-95A2-5B365E05D693}" type="sibTrans" cxnId="{24E620EC-8EBE-7E46-B957-6910FD20909D}">
      <dgm:prSet/>
      <dgm:spPr/>
      <dgm:t>
        <a:bodyPr/>
        <a:lstStyle/>
        <a:p>
          <a:endParaRPr lang="en-GB" sz="1000"/>
        </a:p>
      </dgm:t>
    </dgm:pt>
    <dgm:pt modelId="{FE11C56D-FAB7-1243-B42D-61EAD8702C33}">
      <dgm:prSet phldrT="[Text]" custT="1"/>
      <dgm:spPr/>
      <dgm:t>
        <a:bodyPr/>
        <a:lstStyle/>
        <a:p>
          <a:pPr algn="l"/>
          <a:endParaRPr lang="en-GB" sz="1000" b="1"/>
        </a:p>
        <a:p>
          <a:pPr algn="l"/>
          <a:r>
            <a:rPr lang="en-GB" sz="1000" b="1"/>
            <a:t>Gender transformative approaches </a:t>
          </a:r>
        </a:p>
      </dgm:t>
    </dgm:pt>
    <dgm:pt modelId="{6DA32AAE-B8EC-CF4A-B224-F128DBA45684}" type="parTrans" cxnId="{40650BDB-A0DC-DD41-833A-88DC288DFA6F}">
      <dgm:prSet/>
      <dgm:spPr/>
      <dgm:t>
        <a:bodyPr/>
        <a:lstStyle/>
        <a:p>
          <a:endParaRPr lang="en-GB"/>
        </a:p>
      </dgm:t>
    </dgm:pt>
    <dgm:pt modelId="{07062085-0BC3-6A49-BB64-47CC11E2D2D4}" type="sibTrans" cxnId="{40650BDB-A0DC-DD41-833A-88DC288DFA6F}">
      <dgm:prSet/>
      <dgm:spPr/>
      <dgm:t>
        <a:bodyPr/>
        <a:lstStyle/>
        <a:p>
          <a:endParaRPr lang="en-GB"/>
        </a:p>
      </dgm:t>
    </dgm:pt>
    <dgm:pt modelId="{09B0EBB8-BA22-3543-8EB2-FFF6ACF6E348}">
      <dgm:prSet phldrT="[Text]" custT="1"/>
      <dgm:spPr/>
      <dgm:t>
        <a:bodyPr/>
        <a:lstStyle/>
        <a:p>
          <a:r>
            <a:rPr lang="en-GB" sz="1050"/>
            <a:t>For example:</a:t>
          </a:r>
        </a:p>
      </dgm:t>
    </dgm:pt>
    <dgm:pt modelId="{B4092C01-8150-2240-A2E1-9CA1492C581A}" type="parTrans" cxnId="{E9629401-5391-EF48-AF2C-77CBA2E4885F}">
      <dgm:prSet/>
      <dgm:spPr/>
      <dgm:t>
        <a:bodyPr/>
        <a:lstStyle/>
        <a:p>
          <a:endParaRPr lang="en-GB"/>
        </a:p>
      </dgm:t>
    </dgm:pt>
    <dgm:pt modelId="{8B8523E2-C3B7-A347-8519-2CD7A10518BC}" type="sibTrans" cxnId="{E9629401-5391-EF48-AF2C-77CBA2E4885F}">
      <dgm:prSet/>
      <dgm:spPr/>
      <dgm:t>
        <a:bodyPr/>
        <a:lstStyle/>
        <a:p>
          <a:endParaRPr lang="en-GB"/>
        </a:p>
      </dgm:t>
    </dgm:pt>
    <dgm:pt modelId="{6B548A5A-CFCD-5D43-986E-77EF1D71C3EA}">
      <dgm:prSet phldrT="[Text]" custT="1"/>
      <dgm:spPr/>
      <dgm:t>
        <a:bodyPr/>
        <a:lstStyle/>
        <a:p>
          <a:r>
            <a:rPr lang="en-GB" sz="1050"/>
            <a:t>Discriminatory norms, practices and structures</a:t>
          </a:r>
        </a:p>
      </dgm:t>
    </dgm:pt>
    <dgm:pt modelId="{290C64A5-6230-BF47-B478-CFBE372B680E}" type="parTrans" cxnId="{3907AE36-A6F6-AF4C-AFDA-077218E90D11}">
      <dgm:prSet/>
      <dgm:spPr/>
      <dgm:t>
        <a:bodyPr/>
        <a:lstStyle/>
        <a:p>
          <a:endParaRPr lang="en-GB"/>
        </a:p>
      </dgm:t>
    </dgm:pt>
    <dgm:pt modelId="{ED07D3DF-E697-9345-965D-FD9148713B0E}" type="sibTrans" cxnId="{3907AE36-A6F6-AF4C-AFDA-077218E90D11}">
      <dgm:prSet/>
      <dgm:spPr/>
      <dgm:t>
        <a:bodyPr/>
        <a:lstStyle/>
        <a:p>
          <a:endParaRPr lang="en-GB"/>
        </a:p>
      </dgm:t>
    </dgm:pt>
    <dgm:pt modelId="{34CEEC2D-BF6E-B546-A39A-17BCB38F1174}">
      <dgm:prSet phldrT="[Text]" custT="1"/>
      <dgm:spPr/>
      <dgm:t>
        <a:bodyPr/>
        <a:lstStyle/>
        <a:p>
          <a:pPr algn="l"/>
          <a:r>
            <a:rPr lang="en-GB" sz="1050"/>
            <a:t>Critical insitutitonal and individual awareness and self-reflection of complicity in harmful gender norms, practices and structures</a:t>
          </a:r>
        </a:p>
      </dgm:t>
    </dgm:pt>
    <dgm:pt modelId="{DE0ABBC5-1299-424B-83E1-87768CA1F9B6}" type="parTrans" cxnId="{8A599591-D5F0-F342-B857-8C354665BDF7}">
      <dgm:prSet/>
      <dgm:spPr/>
      <dgm:t>
        <a:bodyPr/>
        <a:lstStyle/>
        <a:p>
          <a:endParaRPr lang="en-GB"/>
        </a:p>
      </dgm:t>
    </dgm:pt>
    <dgm:pt modelId="{56AF4453-E34B-B840-B252-22B75D0C36E1}" type="sibTrans" cxnId="{8A599591-D5F0-F342-B857-8C354665BDF7}">
      <dgm:prSet/>
      <dgm:spPr/>
      <dgm:t>
        <a:bodyPr/>
        <a:lstStyle/>
        <a:p>
          <a:endParaRPr lang="en-GB"/>
        </a:p>
      </dgm:t>
    </dgm:pt>
    <dgm:pt modelId="{0F448B0F-5F68-CD47-B65D-9057C46B17F4}">
      <dgm:prSet phldrT="[Text]" custT="1"/>
      <dgm:spPr/>
      <dgm:t>
        <a:bodyPr/>
        <a:lstStyle/>
        <a:p>
          <a:r>
            <a:rPr lang="en-GB" sz="1050"/>
            <a:t>One off and/or short-term initiatives to address the gendered drivers of violence</a:t>
          </a:r>
        </a:p>
      </dgm:t>
    </dgm:pt>
    <dgm:pt modelId="{E922351C-2562-F64B-962F-4F7A7355EB66}" type="parTrans" cxnId="{3126CF2B-405D-854C-BEED-8390414E38E0}">
      <dgm:prSet/>
      <dgm:spPr/>
      <dgm:t>
        <a:bodyPr/>
        <a:lstStyle/>
        <a:p>
          <a:endParaRPr lang="en-GB"/>
        </a:p>
      </dgm:t>
    </dgm:pt>
    <dgm:pt modelId="{BB62B201-000D-8C4F-AC60-B2EEFBBFD224}" type="sibTrans" cxnId="{3126CF2B-405D-854C-BEED-8390414E38E0}">
      <dgm:prSet/>
      <dgm:spPr/>
      <dgm:t>
        <a:bodyPr/>
        <a:lstStyle/>
        <a:p>
          <a:endParaRPr lang="en-GB"/>
        </a:p>
      </dgm:t>
    </dgm:pt>
    <dgm:pt modelId="{F19E592D-B626-1040-A8A7-4BA0A8B083AC}">
      <dgm:prSet phldrT="[Text]" custT="1"/>
      <dgm:spPr/>
      <dgm:t>
        <a:bodyPr/>
        <a:lstStyle/>
        <a:p>
          <a:pPr algn="l"/>
          <a:r>
            <a:rPr lang="en-GB" sz="1050"/>
            <a:t>Long-term and sustainable primary prevention change intiatives </a:t>
          </a:r>
        </a:p>
      </dgm:t>
    </dgm:pt>
    <dgm:pt modelId="{8A8BF249-E1D0-BD45-A70E-3B815693E1A2}" type="parTrans" cxnId="{1BB39D88-697C-B849-8C7D-809E6718E2E4}">
      <dgm:prSet/>
      <dgm:spPr/>
      <dgm:t>
        <a:bodyPr/>
        <a:lstStyle/>
        <a:p>
          <a:endParaRPr lang="en-GB"/>
        </a:p>
      </dgm:t>
    </dgm:pt>
    <dgm:pt modelId="{23397849-7EFA-EA40-930F-FD527C16275D}" type="sibTrans" cxnId="{1BB39D88-697C-B849-8C7D-809E6718E2E4}">
      <dgm:prSet/>
      <dgm:spPr/>
      <dgm:t>
        <a:bodyPr/>
        <a:lstStyle/>
        <a:p>
          <a:endParaRPr lang="en-GB"/>
        </a:p>
      </dgm:t>
    </dgm:pt>
    <dgm:pt modelId="{25F7213A-D3CC-D344-9FAE-E492B8ED5CC3}">
      <dgm:prSet phldrT="[Text]" custT="1"/>
      <dgm:spPr/>
      <dgm:t>
        <a:bodyPr/>
        <a:lstStyle/>
        <a:p>
          <a:r>
            <a:rPr lang="en-GB" sz="1050"/>
            <a:t>Relying on women to support and sustain primary prevention goals</a:t>
          </a:r>
        </a:p>
      </dgm:t>
    </dgm:pt>
    <dgm:pt modelId="{42CEA67B-9A59-0949-A0FD-2DA8726B9F40}" type="parTrans" cxnId="{F0287714-F5E7-844A-881A-F6A4A7F0566A}">
      <dgm:prSet/>
      <dgm:spPr/>
      <dgm:t>
        <a:bodyPr/>
        <a:lstStyle/>
        <a:p>
          <a:endParaRPr lang="en-GB"/>
        </a:p>
      </dgm:t>
    </dgm:pt>
    <dgm:pt modelId="{01F438A0-EC59-9C43-87C1-A5AB6C8F4F52}" type="sibTrans" cxnId="{F0287714-F5E7-844A-881A-F6A4A7F0566A}">
      <dgm:prSet/>
      <dgm:spPr/>
      <dgm:t>
        <a:bodyPr/>
        <a:lstStyle/>
        <a:p>
          <a:endParaRPr lang="en-GB"/>
        </a:p>
      </dgm:t>
    </dgm:pt>
    <dgm:pt modelId="{489285BA-68FB-B04E-AE46-B377A4A0E5FE}" type="pres">
      <dgm:prSet presAssocID="{62E282FF-B704-5646-A2DD-760BF8860AF6}" presName="Name0" presStyleCnt="0">
        <dgm:presLayoutVars>
          <dgm:chMax val="7"/>
          <dgm:chPref val="7"/>
          <dgm:dir/>
          <dgm:animOne val="branch"/>
          <dgm:animLvl val="lvl"/>
        </dgm:presLayoutVars>
      </dgm:prSet>
      <dgm:spPr/>
    </dgm:pt>
    <dgm:pt modelId="{8B2AD64C-E437-2947-9DE0-88788CBDC8BE}" type="pres">
      <dgm:prSet presAssocID="{D8A371BE-58A9-5740-8D75-721AE30142D8}" presName="composite" presStyleCnt="0"/>
      <dgm:spPr/>
    </dgm:pt>
    <dgm:pt modelId="{F05091D0-21F7-4F49-9D50-E4804B94DE2D}" type="pres">
      <dgm:prSet presAssocID="{D8A371BE-58A9-5740-8D75-721AE30142D8}" presName="BackAccent" presStyleLbl="bgShp" presStyleIdx="0" presStyleCnt="3"/>
      <dgm:spPr/>
    </dgm:pt>
    <dgm:pt modelId="{3EE5148A-6AB5-D44E-8F1B-01DABD794946}" type="pres">
      <dgm:prSet presAssocID="{D8A371BE-58A9-5740-8D75-721AE30142D8}" presName="Accent" presStyleLbl="alignNode1" presStyleIdx="0" presStyleCnt="3"/>
      <dgm:spPr/>
    </dgm:pt>
    <dgm:pt modelId="{CE7BAD7D-FF44-1B48-8710-DB6E205E2C26}" type="pres">
      <dgm:prSet presAssocID="{D8A371BE-58A9-5740-8D75-721AE30142D8}" presName="Child" presStyleLbl="revTx" presStyleIdx="0" presStyleCnt="6">
        <dgm:presLayoutVars>
          <dgm:chMax val="0"/>
          <dgm:chPref val="0"/>
          <dgm:bulletEnabled val="1"/>
        </dgm:presLayoutVars>
      </dgm:prSet>
      <dgm:spPr/>
    </dgm:pt>
    <dgm:pt modelId="{5D1DAA33-198B-2949-A57F-CCAD2E268439}" type="pres">
      <dgm:prSet presAssocID="{D8A371BE-58A9-5740-8D75-721AE30142D8}" presName="Parent" presStyleLbl="revTx" presStyleIdx="1" presStyleCnt="6" custScaleY="114986">
        <dgm:presLayoutVars>
          <dgm:chMax val="1"/>
          <dgm:chPref val="1"/>
          <dgm:bulletEnabled val="1"/>
        </dgm:presLayoutVars>
      </dgm:prSet>
      <dgm:spPr/>
    </dgm:pt>
    <dgm:pt modelId="{63093550-1B2A-4D4C-AD81-7863FBED293C}" type="pres">
      <dgm:prSet presAssocID="{B8245564-170A-4846-B1AF-B0FDC806862A}" presName="sibTrans" presStyleCnt="0"/>
      <dgm:spPr/>
    </dgm:pt>
    <dgm:pt modelId="{CA166A14-B4C1-F84F-8C50-2599FB04DD87}" type="pres">
      <dgm:prSet presAssocID="{0DD18B02-8523-4B46-8083-2E8D51DF0FB2}" presName="composite" presStyleCnt="0"/>
      <dgm:spPr/>
    </dgm:pt>
    <dgm:pt modelId="{29E8AEFA-328B-2F4C-9D90-0B10B9E67B12}" type="pres">
      <dgm:prSet presAssocID="{0DD18B02-8523-4B46-8083-2E8D51DF0FB2}" presName="BackAccent" presStyleLbl="bgShp" presStyleIdx="1" presStyleCnt="3"/>
      <dgm:spPr/>
    </dgm:pt>
    <dgm:pt modelId="{674AC35A-7F60-AA4F-A677-339EF5106BB9}" type="pres">
      <dgm:prSet presAssocID="{0DD18B02-8523-4B46-8083-2E8D51DF0FB2}" presName="Accent" presStyleLbl="alignNode1" presStyleIdx="1" presStyleCnt="3"/>
      <dgm:spPr/>
    </dgm:pt>
    <dgm:pt modelId="{DE0C2DD9-329D-E04F-B902-C2A964140CCD}" type="pres">
      <dgm:prSet presAssocID="{0DD18B02-8523-4B46-8083-2E8D51DF0FB2}" presName="Child" presStyleLbl="revTx" presStyleIdx="2" presStyleCnt="6">
        <dgm:presLayoutVars>
          <dgm:chMax val="0"/>
          <dgm:chPref val="0"/>
          <dgm:bulletEnabled val="1"/>
        </dgm:presLayoutVars>
      </dgm:prSet>
      <dgm:spPr/>
    </dgm:pt>
    <dgm:pt modelId="{8826BD96-9E9A-2644-AC6E-CC68E1FA9B21}" type="pres">
      <dgm:prSet presAssocID="{0DD18B02-8523-4B46-8083-2E8D51DF0FB2}" presName="Parent" presStyleLbl="revTx" presStyleIdx="3" presStyleCnt="6" custScaleY="60801">
        <dgm:presLayoutVars>
          <dgm:chMax val="1"/>
          <dgm:chPref val="1"/>
          <dgm:bulletEnabled val="1"/>
        </dgm:presLayoutVars>
      </dgm:prSet>
      <dgm:spPr/>
    </dgm:pt>
    <dgm:pt modelId="{DBDA6B6C-7520-0D48-AE76-8A80514F67A7}" type="pres">
      <dgm:prSet presAssocID="{B29E13BD-71D9-DD45-922A-C47BF214B76A}" presName="sibTrans" presStyleCnt="0"/>
      <dgm:spPr/>
    </dgm:pt>
    <dgm:pt modelId="{677B82BC-A783-AE4E-95D3-7CD932B0981E}" type="pres">
      <dgm:prSet presAssocID="{FE11C56D-FAB7-1243-B42D-61EAD8702C33}" presName="composite" presStyleCnt="0"/>
      <dgm:spPr/>
    </dgm:pt>
    <dgm:pt modelId="{59488C7F-BA3B-1446-8FC8-51BACB3A7783}" type="pres">
      <dgm:prSet presAssocID="{FE11C56D-FAB7-1243-B42D-61EAD8702C33}" presName="BackAccent" presStyleLbl="bgShp" presStyleIdx="2" presStyleCnt="3"/>
      <dgm:spPr/>
    </dgm:pt>
    <dgm:pt modelId="{2BBAB08E-174D-9945-AEFB-0F2D2378AE88}" type="pres">
      <dgm:prSet presAssocID="{FE11C56D-FAB7-1243-B42D-61EAD8702C33}" presName="Accent" presStyleLbl="alignNode1" presStyleIdx="2" presStyleCnt="3"/>
      <dgm:spPr/>
    </dgm:pt>
    <dgm:pt modelId="{7142E132-3855-2940-8264-0DC582AA2630}" type="pres">
      <dgm:prSet presAssocID="{FE11C56D-FAB7-1243-B42D-61EAD8702C33}" presName="Child" presStyleLbl="revTx" presStyleIdx="4" presStyleCnt="6" custScaleX="116809">
        <dgm:presLayoutVars>
          <dgm:chMax val="0"/>
          <dgm:chPref val="0"/>
          <dgm:bulletEnabled val="1"/>
        </dgm:presLayoutVars>
      </dgm:prSet>
      <dgm:spPr/>
    </dgm:pt>
    <dgm:pt modelId="{C36F8A69-D5FC-4847-B24B-43F97476E605}" type="pres">
      <dgm:prSet presAssocID="{FE11C56D-FAB7-1243-B42D-61EAD8702C33}" presName="Parent" presStyleLbl="revTx" presStyleIdx="5" presStyleCnt="6">
        <dgm:presLayoutVars>
          <dgm:chMax val="1"/>
          <dgm:chPref val="1"/>
          <dgm:bulletEnabled val="1"/>
        </dgm:presLayoutVars>
      </dgm:prSet>
      <dgm:spPr/>
    </dgm:pt>
  </dgm:ptLst>
  <dgm:cxnLst>
    <dgm:cxn modelId="{E9629401-5391-EF48-AF2C-77CBA2E4885F}" srcId="{D8A371BE-58A9-5740-8D75-721AE30142D8}" destId="{09B0EBB8-BA22-3543-8EB2-FFF6ACF6E348}" srcOrd="0" destOrd="0" parTransId="{B4092C01-8150-2240-A2E1-9CA1492C581A}" sibTransId="{8B8523E2-C3B7-A347-8519-2CD7A10518BC}"/>
    <dgm:cxn modelId="{13BDA109-F17B-5347-8EB1-494E3A752D4F}" type="presOf" srcId="{2CB01D92-998E-3B4A-8B2E-B2B7A75A4409}" destId="{DE0C2DD9-329D-E04F-B902-C2A964140CCD}" srcOrd="0" destOrd="1" presId="urn:microsoft.com/office/officeart/2008/layout/IncreasingCircleProcess"/>
    <dgm:cxn modelId="{418A6E0F-5D87-0441-8B31-37E6846A3341}" type="presOf" srcId="{62E282FF-B704-5646-A2DD-760BF8860AF6}" destId="{489285BA-68FB-B04E-AE46-B377A4A0E5FE}" srcOrd="0" destOrd="0" presId="urn:microsoft.com/office/officeart/2008/layout/IncreasingCircleProcess"/>
    <dgm:cxn modelId="{F0287714-F5E7-844A-881A-F6A4A7F0566A}" srcId="{0DD18B02-8523-4B46-8083-2E8D51DF0FB2}" destId="{25F7213A-D3CC-D344-9FAE-E492B8ED5CC3}" srcOrd="4" destOrd="0" parTransId="{42CEA67B-9A59-0949-A0FD-2DA8726B9F40}" sibTransId="{01F438A0-EC59-9C43-87C1-A5AB6C8F4F52}"/>
    <dgm:cxn modelId="{977A9517-33FA-A54C-A682-793CAD185666}" type="presOf" srcId="{4C5103D6-D90B-D443-842A-C3AD8F397873}" destId="{DE0C2DD9-329D-E04F-B902-C2A964140CCD}" srcOrd="0" destOrd="2" presId="urn:microsoft.com/office/officeart/2008/layout/IncreasingCircleProcess"/>
    <dgm:cxn modelId="{8F47FB1E-1702-9349-8F7D-2C5DFBB16BE2}" srcId="{FE11C56D-FAB7-1243-B42D-61EAD8702C33}" destId="{A915EC1F-34D5-0840-8D42-6BC8EB0061B9}" srcOrd="0" destOrd="0" parTransId="{11F5CBCA-4E3A-F949-AC8F-1EA07308258B}" sibTransId="{57F2F94A-E59A-184E-9B5A-4A0520170E6E}"/>
    <dgm:cxn modelId="{3E2BB323-B654-D34D-A474-3149CE9CCB75}" type="presOf" srcId="{63323CA8-86FD-B745-87A5-C2D6AE962E31}" destId="{7142E132-3855-2940-8264-0DC582AA2630}" srcOrd="0" destOrd="1" presId="urn:microsoft.com/office/officeart/2008/layout/IncreasingCircleProcess"/>
    <dgm:cxn modelId="{0CA2A729-455D-8A41-A2A6-82646837E9A4}" srcId="{0DD18B02-8523-4B46-8083-2E8D51DF0FB2}" destId="{4553ED67-278A-6B4C-BF6D-042E07F86FC3}" srcOrd="0" destOrd="0" parTransId="{9CDB95B6-1785-5B45-BF90-14E0C832F551}" sibTransId="{B3D02EFC-EAFC-8E4D-87C5-074DF803F3CE}"/>
    <dgm:cxn modelId="{64634A2B-9F04-7841-9EFA-3F03328152A3}" type="presOf" srcId="{34CEEC2D-BF6E-B546-A39A-17BCB38F1174}" destId="{7142E132-3855-2940-8264-0DC582AA2630}" srcOrd="0" destOrd="4" presId="urn:microsoft.com/office/officeart/2008/layout/IncreasingCircleProcess"/>
    <dgm:cxn modelId="{3126CF2B-405D-854C-BEED-8390414E38E0}" srcId="{0DD18B02-8523-4B46-8083-2E8D51DF0FB2}" destId="{0F448B0F-5F68-CD47-B65D-9057C46B17F4}" srcOrd="3" destOrd="0" parTransId="{E922351C-2562-F64B-962F-4F7A7355EB66}" sibTransId="{BB62B201-000D-8C4F-AC60-B2EEFBBFD224}"/>
    <dgm:cxn modelId="{FBF4A830-DE52-CD48-9825-F1FFDB5ED347}" type="presOf" srcId="{C73372B7-3768-3B4B-A752-3027114CB6D1}" destId="{7142E132-3855-2940-8264-0DC582AA2630}" srcOrd="0" destOrd="3" presId="urn:microsoft.com/office/officeart/2008/layout/IncreasingCircleProcess"/>
    <dgm:cxn modelId="{91519C31-6E05-5145-94C2-C8DEAE086C49}" type="presOf" srcId="{A915EC1F-34D5-0840-8D42-6BC8EB0061B9}" destId="{7142E132-3855-2940-8264-0DC582AA2630}" srcOrd="0" destOrd="0" presId="urn:microsoft.com/office/officeart/2008/layout/IncreasingCircleProcess"/>
    <dgm:cxn modelId="{3907AE36-A6F6-AF4C-AFDA-077218E90D11}" srcId="{D8A371BE-58A9-5740-8D75-721AE30142D8}" destId="{6B548A5A-CFCD-5D43-986E-77EF1D71C3EA}" srcOrd="3" destOrd="0" parTransId="{290C64A5-6230-BF47-B478-CFBE372B680E}" sibTransId="{ED07D3DF-E697-9345-965D-FD9148713B0E}"/>
    <dgm:cxn modelId="{71915B3E-4F95-F341-B3BC-2E9CA42CEE71}" type="presOf" srcId="{08838168-9B39-8B4F-B31C-48C1983EBBCC}" destId="{7142E132-3855-2940-8264-0DC582AA2630}" srcOrd="0" destOrd="5" presId="urn:microsoft.com/office/officeart/2008/layout/IncreasingCircleProcess"/>
    <dgm:cxn modelId="{AB00DB40-7FA3-1349-ADEC-691A93F5CBE1}" type="presOf" srcId="{D26DD104-5817-FE4E-841B-27984BB41AC6}" destId="{CE7BAD7D-FF44-1B48-8710-DB6E205E2C26}" srcOrd="0" destOrd="1" presId="urn:microsoft.com/office/officeart/2008/layout/IncreasingCircleProcess"/>
    <dgm:cxn modelId="{8389EE4B-65FB-7441-9F2D-9B589CB09CA6}" type="presOf" srcId="{4553ED67-278A-6B4C-BF6D-042E07F86FC3}" destId="{DE0C2DD9-329D-E04F-B902-C2A964140CCD}" srcOrd="0" destOrd="0" presId="urn:microsoft.com/office/officeart/2008/layout/IncreasingCircleProcess"/>
    <dgm:cxn modelId="{1B48CD6D-9FE6-6745-B61C-E92F8A454CF2}" type="presOf" srcId="{6B548A5A-CFCD-5D43-986E-77EF1D71C3EA}" destId="{CE7BAD7D-FF44-1B48-8710-DB6E205E2C26}" srcOrd="0" destOrd="3" presId="urn:microsoft.com/office/officeart/2008/layout/IncreasingCircleProcess"/>
    <dgm:cxn modelId="{7990D96D-7935-144C-811A-BC9BD78E7A54}" type="presOf" srcId="{D8A371BE-58A9-5740-8D75-721AE30142D8}" destId="{5D1DAA33-198B-2949-A57F-CCAD2E268439}" srcOrd="0" destOrd="0" presId="urn:microsoft.com/office/officeart/2008/layout/IncreasingCircleProcess"/>
    <dgm:cxn modelId="{A320DE4D-993B-874B-83F2-F04BA97E3C29}" type="presOf" srcId="{25F7213A-D3CC-D344-9FAE-E492B8ED5CC3}" destId="{DE0C2DD9-329D-E04F-B902-C2A964140CCD}" srcOrd="0" destOrd="4" presId="urn:microsoft.com/office/officeart/2008/layout/IncreasingCircleProcess"/>
    <dgm:cxn modelId="{F1C82E7D-01A9-0C4B-89E4-1758F97FA558}" srcId="{62E282FF-B704-5646-A2DD-760BF8860AF6}" destId="{D8A371BE-58A9-5740-8D75-721AE30142D8}" srcOrd="0" destOrd="0" parTransId="{4CE04339-1D47-4448-86A7-804079B8E7F2}" sibTransId="{B8245564-170A-4846-B1AF-B0FDC806862A}"/>
    <dgm:cxn modelId="{1BB39D88-697C-B849-8C7D-809E6718E2E4}" srcId="{FE11C56D-FAB7-1243-B42D-61EAD8702C33}" destId="{F19E592D-B626-1040-A8A7-4BA0A8B083AC}" srcOrd="6" destOrd="0" parTransId="{8A8BF249-E1D0-BD45-A70E-3B815693E1A2}" sibTransId="{23397849-7EFA-EA40-930F-FD527C16275D}"/>
    <dgm:cxn modelId="{7944AB8A-48E1-194C-9055-E71F688F5B9B}" type="presOf" srcId="{F19E592D-B626-1040-A8A7-4BA0A8B083AC}" destId="{7142E132-3855-2940-8264-0DC582AA2630}" srcOrd="0" destOrd="6" presId="urn:microsoft.com/office/officeart/2008/layout/IncreasingCircleProcess"/>
    <dgm:cxn modelId="{8A599591-D5F0-F342-B857-8C354665BDF7}" srcId="{FE11C56D-FAB7-1243-B42D-61EAD8702C33}" destId="{34CEEC2D-BF6E-B546-A39A-17BCB38F1174}" srcOrd="4" destOrd="0" parTransId="{DE0ABBC5-1299-424B-83E1-87768CA1F9B6}" sibTransId="{56AF4453-E34B-B840-B252-22B75D0C36E1}"/>
    <dgm:cxn modelId="{C633B296-4530-C445-9459-6B407AA9B554}" type="presOf" srcId="{FE11C56D-FAB7-1243-B42D-61EAD8702C33}" destId="{C36F8A69-D5FC-4847-B24B-43F97476E605}" srcOrd="0" destOrd="0" presId="urn:microsoft.com/office/officeart/2008/layout/IncreasingCircleProcess"/>
    <dgm:cxn modelId="{FD3EBFA0-61C1-D34A-828E-95C1C7840FA2}" srcId="{FE11C56D-FAB7-1243-B42D-61EAD8702C33}" destId="{2BCC35DE-1FD6-6546-AF3C-457F45EE8924}" srcOrd="2" destOrd="0" parTransId="{93233E5B-0EFA-EB40-997E-EBC0FE73D445}" sibTransId="{B47FED20-051C-A146-87C2-27739FDD8737}"/>
    <dgm:cxn modelId="{1BCA40A2-EA90-E047-9E06-98616A46996D}" type="presOf" srcId="{0DD18B02-8523-4B46-8083-2E8D51DF0FB2}" destId="{8826BD96-9E9A-2644-AC6E-CC68E1FA9B21}" srcOrd="0" destOrd="0" presId="urn:microsoft.com/office/officeart/2008/layout/IncreasingCircleProcess"/>
    <dgm:cxn modelId="{1A26DAAB-D766-EA44-99B2-D2F2B8F3A7F4}" type="presOf" srcId="{2BCC35DE-1FD6-6546-AF3C-457F45EE8924}" destId="{7142E132-3855-2940-8264-0DC582AA2630}" srcOrd="0" destOrd="2" presId="urn:microsoft.com/office/officeart/2008/layout/IncreasingCircleProcess"/>
    <dgm:cxn modelId="{283239C5-35F6-3646-8F75-42237E1B88F6}" srcId="{0DD18B02-8523-4B46-8083-2E8D51DF0FB2}" destId="{4C5103D6-D90B-D443-842A-C3AD8F397873}" srcOrd="2" destOrd="0" parTransId="{8D4933D6-ED21-FC4E-9C15-0AF55FC2673E}" sibTransId="{F9F973F4-4546-C54D-8464-E438D19B8947}"/>
    <dgm:cxn modelId="{074C17CF-9065-0543-99D4-807FBDED7132}" srcId="{62E282FF-B704-5646-A2DD-760BF8860AF6}" destId="{0DD18B02-8523-4B46-8083-2E8D51DF0FB2}" srcOrd="1" destOrd="0" parTransId="{B201B03B-2DA4-3040-9B88-E3A512682689}" sibTransId="{B29E13BD-71D9-DD45-922A-C47BF214B76A}"/>
    <dgm:cxn modelId="{C6D687D2-9EA1-034E-B5D1-5AE87DA826D4}" type="presOf" srcId="{09B0EBB8-BA22-3543-8EB2-FFF6ACF6E348}" destId="{CE7BAD7D-FF44-1B48-8710-DB6E205E2C26}" srcOrd="0" destOrd="0" presId="urn:microsoft.com/office/officeart/2008/layout/IncreasingCircleProcess"/>
    <dgm:cxn modelId="{317BADD8-8DDA-E142-AEE3-424FEAA7887E}" type="presOf" srcId="{0F448B0F-5F68-CD47-B65D-9057C46B17F4}" destId="{DE0C2DD9-329D-E04F-B902-C2A964140CCD}" srcOrd="0" destOrd="3" presId="urn:microsoft.com/office/officeart/2008/layout/IncreasingCircleProcess"/>
    <dgm:cxn modelId="{40650BDB-A0DC-DD41-833A-88DC288DFA6F}" srcId="{62E282FF-B704-5646-A2DD-760BF8860AF6}" destId="{FE11C56D-FAB7-1243-B42D-61EAD8702C33}" srcOrd="2" destOrd="0" parTransId="{6DA32AAE-B8EC-CF4A-B224-F128DBA45684}" sibTransId="{07062085-0BC3-6A49-BB64-47CC11E2D2D4}"/>
    <dgm:cxn modelId="{FD9CD9E3-09F2-2447-B592-AD47FAD26BC4}" type="presOf" srcId="{C3E9E31F-6C9E-5841-A2BA-068721369040}" destId="{CE7BAD7D-FF44-1B48-8710-DB6E205E2C26}" srcOrd="0" destOrd="2" presId="urn:microsoft.com/office/officeart/2008/layout/IncreasingCircleProcess"/>
    <dgm:cxn modelId="{C84208E4-2689-5645-9036-01501BF221A7}" srcId="{D8A371BE-58A9-5740-8D75-721AE30142D8}" destId="{D26DD104-5817-FE4E-841B-27984BB41AC6}" srcOrd="1" destOrd="0" parTransId="{F17B1E27-1EF1-2447-9A5F-83E21FC61B67}" sibTransId="{7A878243-73F6-C245-A85C-C8BD74011531}"/>
    <dgm:cxn modelId="{2BC03CE8-032D-6D43-BE18-A45E6BAD432E}" srcId="{FE11C56D-FAB7-1243-B42D-61EAD8702C33}" destId="{63323CA8-86FD-B745-87A5-C2D6AE962E31}" srcOrd="1" destOrd="0" parTransId="{18689CB1-1E53-6041-AC1B-070B1E401B6D}" sibTransId="{C2F2E10E-D984-8340-ACAC-F9C60DC030F1}"/>
    <dgm:cxn modelId="{24E620EC-8EBE-7E46-B957-6910FD20909D}" srcId="{D8A371BE-58A9-5740-8D75-721AE30142D8}" destId="{C3E9E31F-6C9E-5841-A2BA-068721369040}" srcOrd="2" destOrd="0" parTransId="{427CAFB1-4996-E647-ABD8-BE7ABFB031ED}" sibTransId="{2D6EA1BC-2BA7-B440-95A2-5B365E05D693}"/>
    <dgm:cxn modelId="{3A4BFBEE-6496-5C4C-BA8D-ED49EADF748A}" srcId="{FE11C56D-FAB7-1243-B42D-61EAD8702C33}" destId="{C73372B7-3768-3B4B-A752-3027114CB6D1}" srcOrd="3" destOrd="0" parTransId="{99098419-2402-654C-9D2F-65D3D5924CF3}" sibTransId="{3A31F835-6ADA-8B41-97CD-D0E9F111C473}"/>
    <dgm:cxn modelId="{0828AEF0-6DCA-AB47-8F90-830D9C69DA95}" srcId="{0DD18B02-8523-4B46-8083-2E8D51DF0FB2}" destId="{2CB01D92-998E-3B4A-8B2E-B2B7A75A4409}" srcOrd="1" destOrd="0" parTransId="{B74A76E3-1A97-D94A-BC87-15025FF63FF5}" sibTransId="{B8EA9920-D240-C44E-882E-E5396ADD5285}"/>
    <dgm:cxn modelId="{823BC7F0-1CA8-164E-9001-BF2D78E8F265}" srcId="{FE11C56D-FAB7-1243-B42D-61EAD8702C33}" destId="{08838168-9B39-8B4F-B31C-48C1983EBBCC}" srcOrd="5" destOrd="0" parTransId="{DC1EFB02-AF4C-9C4C-8F2B-BFC465F90697}" sibTransId="{14F7FB75-4BB7-AE4B-99D4-C269C0C3F2B9}"/>
    <dgm:cxn modelId="{AC199908-9AFD-5F47-81D1-DC9C74CA6460}" type="presParOf" srcId="{489285BA-68FB-B04E-AE46-B377A4A0E5FE}" destId="{8B2AD64C-E437-2947-9DE0-88788CBDC8BE}" srcOrd="0" destOrd="0" presId="urn:microsoft.com/office/officeart/2008/layout/IncreasingCircleProcess"/>
    <dgm:cxn modelId="{53F71628-262F-AA49-B296-BAED7972BCA9}" type="presParOf" srcId="{8B2AD64C-E437-2947-9DE0-88788CBDC8BE}" destId="{F05091D0-21F7-4F49-9D50-E4804B94DE2D}" srcOrd="0" destOrd="0" presId="urn:microsoft.com/office/officeart/2008/layout/IncreasingCircleProcess"/>
    <dgm:cxn modelId="{DBBC27C5-4EB1-9B4A-9581-F98B55486726}" type="presParOf" srcId="{8B2AD64C-E437-2947-9DE0-88788CBDC8BE}" destId="{3EE5148A-6AB5-D44E-8F1B-01DABD794946}" srcOrd="1" destOrd="0" presId="urn:microsoft.com/office/officeart/2008/layout/IncreasingCircleProcess"/>
    <dgm:cxn modelId="{2B4BA3DA-86D1-CB43-9E64-BA7A021C30BE}" type="presParOf" srcId="{8B2AD64C-E437-2947-9DE0-88788CBDC8BE}" destId="{CE7BAD7D-FF44-1B48-8710-DB6E205E2C26}" srcOrd="2" destOrd="0" presId="urn:microsoft.com/office/officeart/2008/layout/IncreasingCircleProcess"/>
    <dgm:cxn modelId="{C10C82CA-945F-1347-A9F4-7E9755DEFA90}" type="presParOf" srcId="{8B2AD64C-E437-2947-9DE0-88788CBDC8BE}" destId="{5D1DAA33-198B-2949-A57F-CCAD2E268439}" srcOrd="3" destOrd="0" presId="urn:microsoft.com/office/officeart/2008/layout/IncreasingCircleProcess"/>
    <dgm:cxn modelId="{585B151A-8926-1344-94B8-77B07AB1B62E}" type="presParOf" srcId="{489285BA-68FB-B04E-AE46-B377A4A0E5FE}" destId="{63093550-1B2A-4D4C-AD81-7863FBED293C}" srcOrd="1" destOrd="0" presId="urn:microsoft.com/office/officeart/2008/layout/IncreasingCircleProcess"/>
    <dgm:cxn modelId="{32503A6F-A65D-3343-984D-B2431560F38A}" type="presParOf" srcId="{489285BA-68FB-B04E-AE46-B377A4A0E5FE}" destId="{CA166A14-B4C1-F84F-8C50-2599FB04DD87}" srcOrd="2" destOrd="0" presId="urn:microsoft.com/office/officeart/2008/layout/IncreasingCircleProcess"/>
    <dgm:cxn modelId="{577F5262-67C5-6D46-9167-221510D9CAAE}" type="presParOf" srcId="{CA166A14-B4C1-F84F-8C50-2599FB04DD87}" destId="{29E8AEFA-328B-2F4C-9D90-0B10B9E67B12}" srcOrd="0" destOrd="0" presId="urn:microsoft.com/office/officeart/2008/layout/IncreasingCircleProcess"/>
    <dgm:cxn modelId="{D67AC41D-A232-B641-B51B-3F35CA61156C}" type="presParOf" srcId="{CA166A14-B4C1-F84F-8C50-2599FB04DD87}" destId="{674AC35A-7F60-AA4F-A677-339EF5106BB9}" srcOrd="1" destOrd="0" presId="urn:microsoft.com/office/officeart/2008/layout/IncreasingCircleProcess"/>
    <dgm:cxn modelId="{574D60A8-D22E-4844-9463-53DA8ECC7743}" type="presParOf" srcId="{CA166A14-B4C1-F84F-8C50-2599FB04DD87}" destId="{DE0C2DD9-329D-E04F-B902-C2A964140CCD}" srcOrd="2" destOrd="0" presId="urn:microsoft.com/office/officeart/2008/layout/IncreasingCircleProcess"/>
    <dgm:cxn modelId="{AFAB17F3-EA6B-1841-AD97-46D378AFD848}" type="presParOf" srcId="{CA166A14-B4C1-F84F-8C50-2599FB04DD87}" destId="{8826BD96-9E9A-2644-AC6E-CC68E1FA9B21}" srcOrd="3" destOrd="0" presId="urn:microsoft.com/office/officeart/2008/layout/IncreasingCircleProcess"/>
    <dgm:cxn modelId="{DFDE9115-FBA7-E14B-A696-B19C67F3A158}" type="presParOf" srcId="{489285BA-68FB-B04E-AE46-B377A4A0E5FE}" destId="{DBDA6B6C-7520-0D48-AE76-8A80514F67A7}" srcOrd="3" destOrd="0" presId="urn:microsoft.com/office/officeart/2008/layout/IncreasingCircleProcess"/>
    <dgm:cxn modelId="{AD0CD0C4-7C3D-C841-A004-BA16C48C4EA5}" type="presParOf" srcId="{489285BA-68FB-B04E-AE46-B377A4A0E5FE}" destId="{677B82BC-A783-AE4E-95D3-7CD932B0981E}" srcOrd="4" destOrd="0" presId="urn:microsoft.com/office/officeart/2008/layout/IncreasingCircleProcess"/>
    <dgm:cxn modelId="{DCFDA935-C0BE-FF43-A462-8BF1A35A4A85}" type="presParOf" srcId="{677B82BC-A783-AE4E-95D3-7CD932B0981E}" destId="{59488C7F-BA3B-1446-8FC8-51BACB3A7783}" srcOrd="0" destOrd="0" presId="urn:microsoft.com/office/officeart/2008/layout/IncreasingCircleProcess"/>
    <dgm:cxn modelId="{38528C50-87DE-D24B-A383-637C533BB720}" type="presParOf" srcId="{677B82BC-A783-AE4E-95D3-7CD932B0981E}" destId="{2BBAB08E-174D-9945-AEFB-0F2D2378AE88}" srcOrd="1" destOrd="0" presId="urn:microsoft.com/office/officeart/2008/layout/IncreasingCircleProcess"/>
    <dgm:cxn modelId="{6F3A8FB3-2F84-C647-A018-283F5575888B}" type="presParOf" srcId="{677B82BC-A783-AE4E-95D3-7CD932B0981E}" destId="{7142E132-3855-2940-8264-0DC582AA2630}" srcOrd="2" destOrd="0" presId="urn:microsoft.com/office/officeart/2008/layout/IncreasingCircleProcess"/>
    <dgm:cxn modelId="{661FE5E1-D307-5A43-B0ED-8B2E0C4D525C}" type="presParOf" srcId="{677B82BC-A783-AE4E-95D3-7CD932B0981E}" destId="{C36F8A69-D5FC-4847-B24B-43F97476E605}" srcOrd="3" destOrd="0" presId="urn:microsoft.com/office/officeart/2008/layout/IncreasingCircleProcess"/>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1B3FE9-80D7-144C-9C86-4BAC99E9C8ED}" type="doc">
      <dgm:prSet loTypeId="urn:microsoft.com/office/officeart/2009/layout/CircleArrowProcess" loCatId="" qsTypeId="urn:microsoft.com/office/officeart/2005/8/quickstyle/simple1" qsCatId="simple" csTypeId="urn:microsoft.com/office/officeart/2005/8/colors/colorful5" csCatId="colorful" phldr="1"/>
      <dgm:spPr/>
      <dgm:t>
        <a:bodyPr/>
        <a:lstStyle/>
        <a:p>
          <a:endParaRPr lang="en-GB"/>
        </a:p>
      </dgm:t>
    </dgm:pt>
    <dgm:pt modelId="{84FDD798-A6F4-6740-AFA7-7FC09D498ED7}">
      <dgm:prSet phldrT="[Text]"/>
      <dgm:spPr/>
      <dgm:t>
        <a:bodyPr/>
        <a:lstStyle/>
        <a:p>
          <a:r>
            <a:rPr lang="en-GB"/>
            <a:t>Laws, policies and frameworks</a:t>
          </a:r>
        </a:p>
      </dgm:t>
    </dgm:pt>
    <dgm:pt modelId="{2509DAC4-1C5B-364B-BB4D-8A6B10C210B7}" type="parTrans" cxnId="{6EEA4566-72A7-5A4F-8684-2CFC24E07FB5}">
      <dgm:prSet/>
      <dgm:spPr/>
      <dgm:t>
        <a:bodyPr/>
        <a:lstStyle/>
        <a:p>
          <a:endParaRPr lang="en-GB"/>
        </a:p>
      </dgm:t>
    </dgm:pt>
    <dgm:pt modelId="{0B632F96-2A2D-D741-9DBA-93E271A74724}" type="sibTrans" cxnId="{6EEA4566-72A7-5A4F-8684-2CFC24E07FB5}">
      <dgm:prSet/>
      <dgm:spPr/>
      <dgm:t>
        <a:bodyPr/>
        <a:lstStyle/>
        <a:p>
          <a:endParaRPr lang="en-GB"/>
        </a:p>
      </dgm:t>
    </dgm:pt>
    <dgm:pt modelId="{26211937-10B6-C64A-A66F-5A1995F84EB1}">
      <dgm:prSet phldrT="[Text]"/>
      <dgm:spPr/>
      <dgm:t>
        <a:bodyPr/>
        <a:lstStyle/>
        <a:p>
          <a:r>
            <a:rPr lang="en-GB"/>
            <a:t>Attitudes, culture and behaviours</a:t>
          </a:r>
        </a:p>
      </dgm:t>
    </dgm:pt>
    <dgm:pt modelId="{81D22633-DD62-D840-9FDB-D5EE4979397D}" type="parTrans" cxnId="{18056C22-48C6-C347-9CE9-7FBC68D8429A}">
      <dgm:prSet/>
      <dgm:spPr/>
      <dgm:t>
        <a:bodyPr/>
        <a:lstStyle/>
        <a:p>
          <a:endParaRPr lang="en-GB"/>
        </a:p>
      </dgm:t>
    </dgm:pt>
    <dgm:pt modelId="{558CCFF7-C053-7D43-9626-3424A6B6E2CB}" type="sibTrans" cxnId="{18056C22-48C6-C347-9CE9-7FBC68D8429A}">
      <dgm:prSet/>
      <dgm:spPr/>
      <dgm:t>
        <a:bodyPr/>
        <a:lstStyle/>
        <a:p>
          <a:endParaRPr lang="en-GB"/>
        </a:p>
      </dgm:t>
    </dgm:pt>
    <dgm:pt modelId="{70C742B4-784C-3541-8ADD-CEF4733F7415}">
      <dgm:prSet phldrT="[Text]"/>
      <dgm:spPr/>
      <dgm:t>
        <a:bodyPr/>
        <a:lstStyle/>
        <a:p>
          <a:r>
            <a:rPr lang="en-GB"/>
            <a:t>Organisational policies and practices</a:t>
          </a:r>
        </a:p>
      </dgm:t>
    </dgm:pt>
    <dgm:pt modelId="{10BBCEE2-FE38-9445-BD73-42069F7F2A54}" type="parTrans" cxnId="{592947A8-0640-F643-B2FF-EB9E4377D02D}">
      <dgm:prSet/>
      <dgm:spPr/>
      <dgm:t>
        <a:bodyPr/>
        <a:lstStyle/>
        <a:p>
          <a:endParaRPr lang="en-GB"/>
        </a:p>
      </dgm:t>
    </dgm:pt>
    <dgm:pt modelId="{0A08FDC2-6786-7B47-91AE-05C90D421DBA}" type="sibTrans" cxnId="{592947A8-0640-F643-B2FF-EB9E4377D02D}">
      <dgm:prSet/>
      <dgm:spPr/>
      <dgm:t>
        <a:bodyPr/>
        <a:lstStyle/>
        <a:p>
          <a:endParaRPr lang="en-GB"/>
        </a:p>
      </dgm:t>
    </dgm:pt>
    <dgm:pt modelId="{1C577061-C9B5-FD46-B191-5BCC7F24BCA4}">
      <dgm:prSet phldrT="[Text]"/>
      <dgm:spPr/>
      <dgm:t>
        <a:bodyPr/>
        <a:lstStyle/>
        <a:p>
          <a:r>
            <a:rPr lang="en-GB"/>
            <a:t>Resources</a:t>
          </a:r>
        </a:p>
      </dgm:t>
    </dgm:pt>
    <dgm:pt modelId="{EDF4D745-A66A-9D44-AA23-50084EB750BD}" type="parTrans" cxnId="{F0B95C46-FC45-BB48-95AA-983B5DAF0BE7}">
      <dgm:prSet/>
      <dgm:spPr/>
      <dgm:t>
        <a:bodyPr/>
        <a:lstStyle/>
        <a:p>
          <a:endParaRPr lang="en-GB"/>
        </a:p>
      </dgm:t>
    </dgm:pt>
    <dgm:pt modelId="{F878413F-6C86-D144-9CDB-D7F7C8AE3336}" type="sibTrans" cxnId="{F0B95C46-FC45-BB48-95AA-983B5DAF0BE7}">
      <dgm:prSet/>
      <dgm:spPr/>
      <dgm:t>
        <a:bodyPr/>
        <a:lstStyle/>
        <a:p>
          <a:endParaRPr lang="en-GB"/>
        </a:p>
      </dgm:t>
    </dgm:pt>
    <dgm:pt modelId="{ADD94225-39C3-9648-94D1-71B13F54EA3B}">
      <dgm:prSet phldrT="[Text]"/>
      <dgm:spPr/>
      <dgm:t>
        <a:bodyPr/>
        <a:lstStyle/>
        <a:p>
          <a:r>
            <a:rPr lang="en-GB"/>
            <a:t>Power and decision-making</a:t>
          </a:r>
        </a:p>
      </dgm:t>
    </dgm:pt>
    <dgm:pt modelId="{F718E5D8-5657-EF49-990C-4FCACB441384}" type="parTrans" cxnId="{ED12B551-FC65-AB48-B5E1-7E5DB95EA151}">
      <dgm:prSet/>
      <dgm:spPr/>
      <dgm:t>
        <a:bodyPr/>
        <a:lstStyle/>
        <a:p>
          <a:endParaRPr lang="en-GB"/>
        </a:p>
      </dgm:t>
    </dgm:pt>
    <dgm:pt modelId="{19053DB2-C7E9-0C42-9289-3503679D1E3A}" type="sibTrans" cxnId="{ED12B551-FC65-AB48-B5E1-7E5DB95EA151}">
      <dgm:prSet/>
      <dgm:spPr/>
      <dgm:t>
        <a:bodyPr/>
        <a:lstStyle/>
        <a:p>
          <a:endParaRPr lang="en-GB"/>
        </a:p>
      </dgm:t>
    </dgm:pt>
    <dgm:pt modelId="{91C69401-F6B2-B243-A9F0-37E0F6154C89}" type="pres">
      <dgm:prSet presAssocID="{E31B3FE9-80D7-144C-9C86-4BAC99E9C8ED}" presName="Name0" presStyleCnt="0">
        <dgm:presLayoutVars>
          <dgm:chMax val="7"/>
          <dgm:chPref val="7"/>
          <dgm:dir/>
          <dgm:animLvl val="lvl"/>
        </dgm:presLayoutVars>
      </dgm:prSet>
      <dgm:spPr/>
    </dgm:pt>
    <dgm:pt modelId="{2184CA14-925C-9B46-9731-ACEAC27193E5}" type="pres">
      <dgm:prSet presAssocID="{84FDD798-A6F4-6740-AFA7-7FC09D498ED7}" presName="Accent1" presStyleCnt="0"/>
      <dgm:spPr/>
    </dgm:pt>
    <dgm:pt modelId="{73EDDD62-E96C-DA42-A984-7CD5E10FD753}" type="pres">
      <dgm:prSet presAssocID="{84FDD798-A6F4-6740-AFA7-7FC09D498ED7}" presName="Accent" presStyleLbl="node1" presStyleIdx="0" presStyleCnt="5"/>
      <dgm:spPr/>
    </dgm:pt>
    <dgm:pt modelId="{3B791A0E-4F4C-2C4F-A32D-C38AF581DFDF}" type="pres">
      <dgm:prSet presAssocID="{84FDD798-A6F4-6740-AFA7-7FC09D498ED7}" presName="Parent1" presStyleLbl="revTx" presStyleIdx="0" presStyleCnt="5">
        <dgm:presLayoutVars>
          <dgm:chMax val="1"/>
          <dgm:chPref val="1"/>
          <dgm:bulletEnabled val="1"/>
        </dgm:presLayoutVars>
      </dgm:prSet>
      <dgm:spPr/>
    </dgm:pt>
    <dgm:pt modelId="{B7650879-0D82-DE44-A8FC-E972A0652D01}" type="pres">
      <dgm:prSet presAssocID="{70C742B4-784C-3541-8ADD-CEF4733F7415}" presName="Accent2" presStyleCnt="0"/>
      <dgm:spPr/>
    </dgm:pt>
    <dgm:pt modelId="{C5B6866C-6D5D-C945-BDE1-E4E140E76BFF}" type="pres">
      <dgm:prSet presAssocID="{70C742B4-784C-3541-8ADD-CEF4733F7415}" presName="Accent" presStyleLbl="node1" presStyleIdx="1" presStyleCnt="5"/>
      <dgm:spPr/>
    </dgm:pt>
    <dgm:pt modelId="{7043663B-7ABA-8644-AEFA-92B69607EA35}" type="pres">
      <dgm:prSet presAssocID="{70C742B4-784C-3541-8ADD-CEF4733F7415}" presName="Parent2" presStyleLbl="revTx" presStyleIdx="1" presStyleCnt="5">
        <dgm:presLayoutVars>
          <dgm:chMax val="1"/>
          <dgm:chPref val="1"/>
          <dgm:bulletEnabled val="1"/>
        </dgm:presLayoutVars>
      </dgm:prSet>
      <dgm:spPr/>
    </dgm:pt>
    <dgm:pt modelId="{EBAA8C32-9FD7-9947-A346-859239539737}" type="pres">
      <dgm:prSet presAssocID="{1C577061-C9B5-FD46-B191-5BCC7F24BCA4}" presName="Accent3" presStyleCnt="0"/>
      <dgm:spPr/>
    </dgm:pt>
    <dgm:pt modelId="{5174C10A-AFB0-634F-A140-1DFB329E4F6A}" type="pres">
      <dgm:prSet presAssocID="{1C577061-C9B5-FD46-B191-5BCC7F24BCA4}" presName="Accent" presStyleLbl="node1" presStyleIdx="2" presStyleCnt="5"/>
      <dgm:spPr/>
    </dgm:pt>
    <dgm:pt modelId="{9DCF5FB7-1F27-4C4C-80AB-2EC9F726F066}" type="pres">
      <dgm:prSet presAssocID="{1C577061-C9B5-FD46-B191-5BCC7F24BCA4}" presName="Parent3" presStyleLbl="revTx" presStyleIdx="2" presStyleCnt="5">
        <dgm:presLayoutVars>
          <dgm:chMax val="1"/>
          <dgm:chPref val="1"/>
          <dgm:bulletEnabled val="1"/>
        </dgm:presLayoutVars>
      </dgm:prSet>
      <dgm:spPr/>
    </dgm:pt>
    <dgm:pt modelId="{E78C7868-30C5-AA4E-A9EB-4AAFC4BEEAA0}" type="pres">
      <dgm:prSet presAssocID="{ADD94225-39C3-9648-94D1-71B13F54EA3B}" presName="Accent4" presStyleCnt="0"/>
      <dgm:spPr/>
    </dgm:pt>
    <dgm:pt modelId="{96B3F54A-11BB-954C-9072-5B0B3261E1B6}" type="pres">
      <dgm:prSet presAssocID="{ADD94225-39C3-9648-94D1-71B13F54EA3B}" presName="Accent" presStyleLbl="node1" presStyleIdx="3" presStyleCnt="5"/>
      <dgm:spPr/>
    </dgm:pt>
    <dgm:pt modelId="{23C9FC28-83C6-6447-81B3-89F795711618}" type="pres">
      <dgm:prSet presAssocID="{ADD94225-39C3-9648-94D1-71B13F54EA3B}" presName="Parent4" presStyleLbl="revTx" presStyleIdx="3" presStyleCnt="5">
        <dgm:presLayoutVars>
          <dgm:chMax val="1"/>
          <dgm:chPref val="1"/>
          <dgm:bulletEnabled val="1"/>
        </dgm:presLayoutVars>
      </dgm:prSet>
      <dgm:spPr/>
    </dgm:pt>
    <dgm:pt modelId="{D18376EE-C1B9-984A-9142-3CD3560CC1B5}" type="pres">
      <dgm:prSet presAssocID="{26211937-10B6-C64A-A66F-5A1995F84EB1}" presName="Accent5" presStyleCnt="0"/>
      <dgm:spPr/>
    </dgm:pt>
    <dgm:pt modelId="{D138FDDE-EF21-5B4B-8E82-7BFCB3A1C5C3}" type="pres">
      <dgm:prSet presAssocID="{26211937-10B6-C64A-A66F-5A1995F84EB1}" presName="Accent" presStyleLbl="node1" presStyleIdx="4" presStyleCnt="5"/>
      <dgm:spPr/>
    </dgm:pt>
    <dgm:pt modelId="{DF488FFD-4F7E-D042-8E2D-596FBBD1DA17}" type="pres">
      <dgm:prSet presAssocID="{26211937-10B6-C64A-A66F-5A1995F84EB1}" presName="Parent5" presStyleLbl="revTx" presStyleIdx="4" presStyleCnt="5">
        <dgm:presLayoutVars>
          <dgm:chMax val="1"/>
          <dgm:chPref val="1"/>
          <dgm:bulletEnabled val="1"/>
        </dgm:presLayoutVars>
      </dgm:prSet>
      <dgm:spPr/>
    </dgm:pt>
  </dgm:ptLst>
  <dgm:cxnLst>
    <dgm:cxn modelId="{18056C22-48C6-C347-9CE9-7FBC68D8429A}" srcId="{E31B3FE9-80D7-144C-9C86-4BAC99E9C8ED}" destId="{26211937-10B6-C64A-A66F-5A1995F84EB1}" srcOrd="4" destOrd="0" parTransId="{81D22633-DD62-D840-9FDB-D5EE4979397D}" sibTransId="{558CCFF7-C053-7D43-9626-3424A6B6E2CB}"/>
    <dgm:cxn modelId="{390FEF3E-E9C3-BC4F-AD0B-92512A39050C}" type="presOf" srcId="{84FDD798-A6F4-6740-AFA7-7FC09D498ED7}" destId="{3B791A0E-4F4C-2C4F-A32D-C38AF581DFDF}" srcOrd="0" destOrd="0" presId="urn:microsoft.com/office/officeart/2009/layout/CircleArrowProcess"/>
    <dgm:cxn modelId="{F0AD2F66-0D42-6D43-B6CE-D3614615189B}" type="presOf" srcId="{ADD94225-39C3-9648-94D1-71B13F54EA3B}" destId="{23C9FC28-83C6-6447-81B3-89F795711618}" srcOrd="0" destOrd="0" presId="urn:microsoft.com/office/officeart/2009/layout/CircleArrowProcess"/>
    <dgm:cxn modelId="{F0B95C46-FC45-BB48-95AA-983B5DAF0BE7}" srcId="{E31B3FE9-80D7-144C-9C86-4BAC99E9C8ED}" destId="{1C577061-C9B5-FD46-B191-5BCC7F24BCA4}" srcOrd="2" destOrd="0" parTransId="{EDF4D745-A66A-9D44-AA23-50084EB750BD}" sibTransId="{F878413F-6C86-D144-9CDB-D7F7C8AE3336}"/>
    <dgm:cxn modelId="{6EEA4566-72A7-5A4F-8684-2CFC24E07FB5}" srcId="{E31B3FE9-80D7-144C-9C86-4BAC99E9C8ED}" destId="{84FDD798-A6F4-6740-AFA7-7FC09D498ED7}" srcOrd="0" destOrd="0" parTransId="{2509DAC4-1C5B-364B-BB4D-8A6B10C210B7}" sibTransId="{0B632F96-2A2D-D741-9DBA-93E271A74724}"/>
    <dgm:cxn modelId="{7173C54B-7DEF-214C-8F90-DAEE8C0E9F4E}" type="presOf" srcId="{1C577061-C9B5-FD46-B191-5BCC7F24BCA4}" destId="{9DCF5FB7-1F27-4C4C-80AB-2EC9F726F066}" srcOrd="0" destOrd="0" presId="urn:microsoft.com/office/officeart/2009/layout/CircleArrowProcess"/>
    <dgm:cxn modelId="{ED12B551-FC65-AB48-B5E1-7E5DB95EA151}" srcId="{E31B3FE9-80D7-144C-9C86-4BAC99E9C8ED}" destId="{ADD94225-39C3-9648-94D1-71B13F54EA3B}" srcOrd="3" destOrd="0" parTransId="{F718E5D8-5657-EF49-990C-4FCACB441384}" sibTransId="{19053DB2-C7E9-0C42-9289-3503679D1E3A}"/>
    <dgm:cxn modelId="{8FF47688-A854-754D-8C3E-EB0E348AEAC4}" type="presOf" srcId="{E31B3FE9-80D7-144C-9C86-4BAC99E9C8ED}" destId="{91C69401-F6B2-B243-A9F0-37E0F6154C89}" srcOrd="0" destOrd="0" presId="urn:microsoft.com/office/officeart/2009/layout/CircleArrowProcess"/>
    <dgm:cxn modelId="{E66DA3A6-18D9-2640-93CB-21C5D2901872}" type="presOf" srcId="{70C742B4-784C-3541-8ADD-CEF4733F7415}" destId="{7043663B-7ABA-8644-AEFA-92B69607EA35}" srcOrd="0" destOrd="0" presId="urn:microsoft.com/office/officeart/2009/layout/CircleArrowProcess"/>
    <dgm:cxn modelId="{592947A8-0640-F643-B2FF-EB9E4377D02D}" srcId="{E31B3FE9-80D7-144C-9C86-4BAC99E9C8ED}" destId="{70C742B4-784C-3541-8ADD-CEF4733F7415}" srcOrd="1" destOrd="0" parTransId="{10BBCEE2-FE38-9445-BD73-42069F7F2A54}" sibTransId="{0A08FDC2-6786-7B47-91AE-05C90D421DBA}"/>
    <dgm:cxn modelId="{6DC863B2-4A7B-1942-B697-0ACE87F14863}" type="presOf" srcId="{26211937-10B6-C64A-A66F-5A1995F84EB1}" destId="{DF488FFD-4F7E-D042-8E2D-596FBBD1DA17}" srcOrd="0" destOrd="0" presId="urn:microsoft.com/office/officeart/2009/layout/CircleArrowProcess"/>
    <dgm:cxn modelId="{A7F68655-A05F-1E4D-9F36-6D628A1BB8CE}" type="presParOf" srcId="{91C69401-F6B2-B243-A9F0-37E0F6154C89}" destId="{2184CA14-925C-9B46-9731-ACEAC27193E5}" srcOrd="0" destOrd="0" presId="urn:microsoft.com/office/officeart/2009/layout/CircleArrowProcess"/>
    <dgm:cxn modelId="{DFAD08A0-CAFF-C340-B072-71039EB5C389}" type="presParOf" srcId="{2184CA14-925C-9B46-9731-ACEAC27193E5}" destId="{73EDDD62-E96C-DA42-A984-7CD5E10FD753}" srcOrd="0" destOrd="0" presId="urn:microsoft.com/office/officeart/2009/layout/CircleArrowProcess"/>
    <dgm:cxn modelId="{B78FCE50-1F03-8046-A862-A03DCB1B6942}" type="presParOf" srcId="{91C69401-F6B2-B243-A9F0-37E0F6154C89}" destId="{3B791A0E-4F4C-2C4F-A32D-C38AF581DFDF}" srcOrd="1" destOrd="0" presId="urn:microsoft.com/office/officeart/2009/layout/CircleArrowProcess"/>
    <dgm:cxn modelId="{31010B37-8B21-A747-BC87-D595BD06C50F}" type="presParOf" srcId="{91C69401-F6B2-B243-A9F0-37E0F6154C89}" destId="{B7650879-0D82-DE44-A8FC-E972A0652D01}" srcOrd="2" destOrd="0" presId="urn:microsoft.com/office/officeart/2009/layout/CircleArrowProcess"/>
    <dgm:cxn modelId="{02ADCEFB-EDCC-9B4E-B878-AD25ECEF29E1}" type="presParOf" srcId="{B7650879-0D82-DE44-A8FC-E972A0652D01}" destId="{C5B6866C-6D5D-C945-BDE1-E4E140E76BFF}" srcOrd="0" destOrd="0" presId="urn:microsoft.com/office/officeart/2009/layout/CircleArrowProcess"/>
    <dgm:cxn modelId="{B507C7E8-EC16-D544-A447-79808CF93EE2}" type="presParOf" srcId="{91C69401-F6B2-B243-A9F0-37E0F6154C89}" destId="{7043663B-7ABA-8644-AEFA-92B69607EA35}" srcOrd="3" destOrd="0" presId="urn:microsoft.com/office/officeart/2009/layout/CircleArrowProcess"/>
    <dgm:cxn modelId="{E1D5BCD6-BFC0-D34B-A8CB-8684C5613012}" type="presParOf" srcId="{91C69401-F6B2-B243-A9F0-37E0F6154C89}" destId="{EBAA8C32-9FD7-9947-A346-859239539737}" srcOrd="4" destOrd="0" presId="urn:microsoft.com/office/officeart/2009/layout/CircleArrowProcess"/>
    <dgm:cxn modelId="{B09D0658-4597-F14E-A075-BB8FFAD39DA5}" type="presParOf" srcId="{EBAA8C32-9FD7-9947-A346-859239539737}" destId="{5174C10A-AFB0-634F-A140-1DFB329E4F6A}" srcOrd="0" destOrd="0" presId="urn:microsoft.com/office/officeart/2009/layout/CircleArrowProcess"/>
    <dgm:cxn modelId="{591AB277-3410-F84E-94DD-648F0D4FEDC4}" type="presParOf" srcId="{91C69401-F6B2-B243-A9F0-37E0F6154C89}" destId="{9DCF5FB7-1F27-4C4C-80AB-2EC9F726F066}" srcOrd="5" destOrd="0" presId="urn:microsoft.com/office/officeart/2009/layout/CircleArrowProcess"/>
    <dgm:cxn modelId="{2FC493B7-73F6-8945-B49D-E5C7378FE92C}" type="presParOf" srcId="{91C69401-F6B2-B243-A9F0-37E0F6154C89}" destId="{E78C7868-30C5-AA4E-A9EB-4AAFC4BEEAA0}" srcOrd="6" destOrd="0" presId="urn:microsoft.com/office/officeart/2009/layout/CircleArrowProcess"/>
    <dgm:cxn modelId="{F6D1F326-CE12-DF48-A242-C1B6858DE08E}" type="presParOf" srcId="{E78C7868-30C5-AA4E-A9EB-4AAFC4BEEAA0}" destId="{96B3F54A-11BB-954C-9072-5B0B3261E1B6}" srcOrd="0" destOrd="0" presId="urn:microsoft.com/office/officeart/2009/layout/CircleArrowProcess"/>
    <dgm:cxn modelId="{2661DBE7-98CD-5B42-B198-CA8D2EF671B3}" type="presParOf" srcId="{91C69401-F6B2-B243-A9F0-37E0F6154C89}" destId="{23C9FC28-83C6-6447-81B3-89F795711618}" srcOrd="7" destOrd="0" presId="urn:microsoft.com/office/officeart/2009/layout/CircleArrowProcess"/>
    <dgm:cxn modelId="{65D8BB24-2B18-424E-8DFC-98895E725534}" type="presParOf" srcId="{91C69401-F6B2-B243-A9F0-37E0F6154C89}" destId="{D18376EE-C1B9-984A-9142-3CD3560CC1B5}" srcOrd="8" destOrd="0" presId="urn:microsoft.com/office/officeart/2009/layout/CircleArrowProcess"/>
    <dgm:cxn modelId="{5862AE3B-805F-8A42-BBBD-84A7F9293309}" type="presParOf" srcId="{D18376EE-C1B9-984A-9142-3CD3560CC1B5}" destId="{D138FDDE-EF21-5B4B-8E82-7BFCB3A1C5C3}" srcOrd="0" destOrd="0" presId="urn:microsoft.com/office/officeart/2009/layout/CircleArrowProcess"/>
    <dgm:cxn modelId="{5500FC89-A41C-014C-B832-CB37789ED470}" type="presParOf" srcId="{91C69401-F6B2-B243-A9F0-37E0F6154C89}" destId="{DF488FFD-4F7E-D042-8E2D-596FBBD1DA17}" srcOrd="9" destOrd="0" presId="urn:microsoft.com/office/officeart/2009/layout/CircleArrowProcess"/>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5091D0-21F7-4F49-9D50-E4804B94DE2D}">
      <dsp:nvSpPr>
        <dsp:cNvPr id="0" name=""/>
        <dsp:cNvSpPr/>
      </dsp:nvSpPr>
      <dsp:spPr>
        <a:xfrm>
          <a:off x="2079" y="36044"/>
          <a:ext cx="481048" cy="481048"/>
        </a:xfrm>
        <a:prstGeom prst="ellipse">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EE5148A-6AB5-D44E-8F1B-01DABD794946}">
      <dsp:nvSpPr>
        <dsp:cNvPr id="0" name=""/>
        <dsp:cNvSpPr/>
      </dsp:nvSpPr>
      <dsp:spPr>
        <a:xfrm>
          <a:off x="50183" y="84149"/>
          <a:ext cx="384838" cy="384838"/>
        </a:xfrm>
        <a:prstGeom prst="chord">
          <a:avLst>
            <a:gd name="adj1" fmla="val 1168272"/>
            <a:gd name="adj2" fmla="val 9631728"/>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CE7BAD7D-FF44-1B48-8710-DB6E205E2C26}">
      <dsp:nvSpPr>
        <dsp:cNvPr id="0" name=""/>
        <dsp:cNvSpPr/>
      </dsp:nvSpPr>
      <dsp:spPr>
        <a:xfrm>
          <a:off x="583345" y="517092"/>
          <a:ext cx="1423100" cy="2024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27940" rIns="27940" bIns="27940" numCol="1" spcCol="1270" anchor="t" anchorCtr="0">
          <a:noAutofit/>
        </a:bodyPr>
        <a:lstStyle/>
        <a:p>
          <a:pPr marL="0" lvl="0" indent="0" algn="l" defTabSz="466725">
            <a:lnSpc>
              <a:spcPct val="90000"/>
            </a:lnSpc>
            <a:spcBef>
              <a:spcPct val="0"/>
            </a:spcBef>
            <a:spcAft>
              <a:spcPct val="35000"/>
            </a:spcAft>
            <a:buNone/>
          </a:pPr>
          <a:r>
            <a:rPr lang="en-GB" sz="1050" kern="1200"/>
            <a:t>For example:</a:t>
          </a:r>
        </a:p>
        <a:p>
          <a:pPr marL="0" lvl="0" indent="0" algn="l" defTabSz="466725">
            <a:lnSpc>
              <a:spcPct val="90000"/>
            </a:lnSpc>
            <a:spcBef>
              <a:spcPct val="0"/>
            </a:spcBef>
            <a:spcAft>
              <a:spcPct val="35000"/>
            </a:spcAft>
            <a:buNone/>
          </a:pPr>
          <a:r>
            <a:rPr lang="en-GB" sz="1050" kern="1200"/>
            <a:t>Perpetuates gender inequalities</a:t>
          </a:r>
        </a:p>
        <a:p>
          <a:pPr marL="0" lvl="0" indent="0" algn="l" defTabSz="466725">
            <a:lnSpc>
              <a:spcPct val="90000"/>
            </a:lnSpc>
            <a:spcBef>
              <a:spcPct val="0"/>
            </a:spcBef>
            <a:spcAft>
              <a:spcPct val="35000"/>
            </a:spcAft>
            <a:buNone/>
          </a:pPr>
          <a:r>
            <a:rPr lang="en-GB" sz="1050" kern="1200"/>
            <a:t>Ignores or denies the gendered drivers of violence</a:t>
          </a:r>
        </a:p>
        <a:p>
          <a:pPr marL="0" lvl="0" indent="0" algn="l" defTabSz="466725">
            <a:lnSpc>
              <a:spcPct val="90000"/>
            </a:lnSpc>
            <a:spcBef>
              <a:spcPct val="0"/>
            </a:spcBef>
            <a:spcAft>
              <a:spcPct val="35000"/>
            </a:spcAft>
            <a:buNone/>
          </a:pPr>
          <a:r>
            <a:rPr lang="en-GB" sz="1050" kern="1200"/>
            <a:t>Discriminatory norms, practices and structures</a:t>
          </a:r>
        </a:p>
      </dsp:txBody>
      <dsp:txXfrm>
        <a:off x="583345" y="517092"/>
        <a:ext cx="1423100" cy="2024410"/>
      </dsp:txXfrm>
    </dsp:sp>
    <dsp:sp modelId="{5D1DAA33-198B-2949-A57F-CCAD2E268439}">
      <dsp:nvSpPr>
        <dsp:cNvPr id="0" name=""/>
        <dsp:cNvSpPr/>
      </dsp:nvSpPr>
      <dsp:spPr>
        <a:xfrm>
          <a:off x="583345" y="0"/>
          <a:ext cx="1423100" cy="553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27940" rIns="27940" bIns="27940" numCol="1" spcCol="1270" anchor="b" anchorCtr="0">
          <a:noAutofit/>
        </a:bodyPr>
        <a:lstStyle/>
        <a:p>
          <a:pPr marL="0" lvl="0" indent="0" algn="l" defTabSz="466725">
            <a:lnSpc>
              <a:spcPct val="90000"/>
            </a:lnSpc>
            <a:spcBef>
              <a:spcPct val="0"/>
            </a:spcBef>
            <a:spcAft>
              <a:spcPct val="35000"/>
            </a:spcAft>
            <a:buNone/>
          </a:pPr>
          <a:r>
            <a:rPr lang="en-GB" sz="1050" b="1" kern="1200"/>
            <a:t>No consideration of gender, or reinforces gender (in)equalities</a:t>
          </a:r>
        </a:p>
      </dsp:txBody>
      <dsp:txXfrm>
        <a:off x="583345" y="0"/>
        <a:ext cx="1423100" cy="553137"/>
      </dsp:txXfrm>
    </dsp:sp>
    <dsp:sp modelId="{29E8AEFA-328B-2F4C-9D90-0B10B9E67B12}">
      <dsp:nvSpPr>
        <dsp:cNvPr id="0" name=""/>
        <dsp:cNvSpPr/>
      </dsp:nvSpPr>
      <dsp:spPr>
        <a:xfrm>
          <a:off x="2106664" y="18022"/>
          <a:ext cx="481048" cy="481048"/>
        </a:xfrm>
        <a:prstGeom prst="ellipse">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74AC35A-7F60-AA4F-A677-339EF5106BB9}">
      <dsp:nvSpPr>
        <dsp:cNvPr id="0" name=""/>
        <dsp:cNvSpPr/>
      </dsp:nvSpPr>
      <dsp:spPr>
        <a:xfrm>
          <a:off x="2154769" y="66127"/>
          <a:ext cx="384838" cy="384838"/>
        </a:xfrm>
        <a:prstGeom prst="chord">
          <a:avLst>
            <a:gd name="adj1" fmla="val 20431728"/>
            <a:gd name="adj2" fmla="val 11968272"/>
          </a:avLst>
        </a:prstGeom>
        <a:solidFill>
          <a:schemeClr val="accent5">
            <a:hueOff val="-4966938"/>
            <a:satOff val="19906"/>
            <a:lumOff val="4314"/>
            <a:alphaOff val="0"/>
          </a:schemeClr>
        </a:solidFill>
        <a:ln w="25400" cap="flat" cmpd="sng" algn="ctr">
          <a:solidFill>
            <a:schemeClr val="accent5">
              <a:hueOff val="-4966938"/>
              <a:satOff val="19906"/>
              <a:lumOff val="4314"/>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DE0C2DD9-329D-E04F-B902-C2A964140CCD}">
      <dsp:nvSpPr>
        <dsp:cNvPr id="0" name=""/>
        <dsp:cNvSpPr/>
      </dsp:nvSpPr>
      <dsp:spPr>
        <a:xfrm>
          <a:off x="2687930" y="499070"/>
          <a:ext cx="1423100" cy="2024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27940" rIns="27940" bIns="27940" numCol="1" spcCol="1270" anchor="t" anchorCtr="0">
          <a:noAutofit/>
        </a:bodyPr>
        <a:lstStyle/>
        <a:p>
          <a:pPr marL="0" lvl="0" indent="0" algn="l" defTabSz="466725">
            <a:lnSpc>
              <a:spcPct val="90000"/>
            </a:lnSpc>
            <a:spcBef>
              <a:spcPct val="0"/>
            </a:spcBef>
            <a:spcAft>
              <a:spcPct val="35000"/>
            </a:spcAft>
            <a:buNone/>
          </a:pPr>
          <a:r>
            <a:rPr lang="en-GB" sz="1050" kern="1200"/>
            <a:t>For example:</a:t>
          </a:r>
        </a:p>
        <a:p>
          <a:pPr marL="0" lvl="0" indent="0" algn="l" defTabSz="466725">
            <a:lnSpc>
              <a:spcPct val="90000"/>
            </a:lnSpc>
            <a:spcBef>
              <a:spcPct val="0"/>
            </a:spcBef>
            <a:spcAft>
              <a:spcPct val="35000"/>
            </a:spcAft>
            <a:buNone/>
          </a:pPr>
          <a:r>
            <a:rPr lang="en-GB" sz="1050" kern="1200"/>
            <a:t>Bare minimum in responsibiities to gender equality </a:t>
          </a:r>
        </a:p>
        <a:p>
          <a:pPr marL="0" lvl="0" indent="0" algn="l" defTabSz="466725">
            <a:lnSpc>
              <a:spcPct val="90000"/>
            </a:lnSpc>
            <a:spcBef>
              <a:spcPct val="0"/>
            </a:spcBef>
            <a:spcAft>
              <a:spcPct val="35000"/>
            </a:spcAft>
            <a:buNone/>
          </a:pPr>
          <a:r>
            <a:rPr lang="en-GB" sz="1050" kern="1200"/>
            <a:t>Tokenestic inclusion of women</a:t>
          </a:r>
        </a:p>
        <a:p>
          <a:pPr marL="0" lvl="0" indent="0" algn="l" defTabSz="466725">
            <a:lnSpc>
              <a:spcPct val="90000"/>
            </a:lnSpc>
            <a:spcBef>
              <a:spcPct val="0"/>
            </a:spcBef>
            <a:spcAft>
              <a:spcPct val="35000"/>
            </a:spcAft>
            <a:buNone/>
          </a:pPr>
          <a:r>
            <a:rPr lang="en-GB" sz="1050" kern="1200"/>
            <a:t>'Tick box' approach</a:t>
          </a:r>
        </a:p>
        <a:p>
          <a:pPr marL="0" lvl="0" indent="0" algn="l" defTabSz="466725">
            <a:lnSpc>
              <a:spcPct val="90000"/>
            </a:lnSpc>
            <a:spcBef>
              <a:spcPct val="0"/>
            </a:spcBef>
            <a:spcAft>
              <a:spcPct val="35000"/>
            </a:spcAft>
            <a:buNone/>
          </a:pPr>
          <a:r>
            <a:rPr lang="en-GB" sz="1050" kern="1200"/>
            <a:t>Acknowledges gender norms, practices and structures but addresses them in ad hoc ways</a:t>
          </a:r>
        </a:p>
        <a:p>
          <a:pPr marL="0" lvl="0" indent="0" algn="l" defTabSz="466725">
            <a:lnSpc>
              <a:spcPct val="90000"/>
            </a:lnSpc>
            <a:spcBef>
              <a:spcPct val="0"/>
            </a:spcBef>
            <a:spcAft>
              <a:spcPct val="35000"/>
            </a:spcAft>
            <a:buNone/>
          </a:pPr>
          <a:r>
            <a:rPr lang="en-GB" sz="1050" kern="1200"/>
            <a:t>One off and/or short-term initiatives to address the gendered drivers of violence</a:t>
          </a:r>
        </a:p>
        <a:p>
          <a:pPr marL="0" lvl="0" indent="0" algn="l" defTabSz="466725">
            <a:lnSpc>
              <a:spcPct val="90000"/>
            </a:lnSpc>
            <a:spcBef>
              <a:spcPct val="0"/>
            </a:spcBef>
            <a:spcAft>
              <a:spcPct val="35000"/>
            </a:spcAft>
            <a:buNone/>
          </a:pPr>
          <a:r>
            <a:rPr lang="en-GB" sz="1050" kern="1200"/>
            <a:t>Relying on women to support and sustain primary prevention goals</a:t>
          </a:r>
        </a:p>
      </dsp:txBody>
      <dsp:txXfrm>
        <a:off x="2687930" y="499070"/>
        <a:ext cx="1423100" cy="2024410"/>
      </dsp:txXfrm>
    </dsp:sp>
    <dsp:sp modelId="{8826BD96-9E9A-2644-AC6E-CC68E1FA9B21}">
      <dsp:nvSpPr>
        <dsp:cNvPr id="0" name=""/>
        <dsp:cNvSpPr/>
      </dsp:nvSpPr>
      <dsp:spPr>
        <a:xfrm>
          <a:off x="2687930" y="112305"/>
          <a:ext cx="1423100" cy="2924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b" anchorCtr="0">
          <a:noAutofit/>
        </a:bodyPr>
        <a:lstStyle/>
        <a:p>
          <a:pPr marL="0" lvl="0" indent="0" algn="l" defTabSz="444500">
            <a:lnSpc>
              <a:spcPct val="90000"/>
            </a:lnSpc>
            <a:spcBef>
              <a:spcPct val="0"/>
            </a:spcBef>
            <a:spcAft>
              <a:spcPct val="35000"/>
            </a:spcAft>
            <a:buNone/>
          </a:pPr>
          <a:r>
            <a:rPr lang="en-GB" sz="1000" b="1" kern="1200"/>
            <a:t>Less effective approaches</a:t>
          </a:r>
        </a:p>
      </dsp:txBody>
      <dsp:txXfrm>
        <a:off x="2687930" y="112305"/>
        <a:ext cx="1423100" cy="292482"/>
      </dsp:txXfrm>
    </dsp:sp>
    <dsp:sp modelId="{59488C7F-BA3B-1446-8FC8-51BACB3A7783}">
      <dsp:nvSpPr>
        <dsp:cNvPr id="0" name=""/>
        <dsp:cNvSpPr/>
      </dsp:nvSpPr>
      <dsp:spPr>
        <a:xfrm>
          <a:off x="4211249" y="18022"/>
          <a:ext cx="481048" cy="481048"/>
        </a:xfrm>
        <a:prstGeom prst="ellipse">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BBAB08E-174D-9945-AEFB-0F2D2378AE88}">
      <dsp:nvSpPr>
        <dsp:cNvPr id="0" name=""/>
        <dsp:cNvSpPr/>
      </dsp:nvSpPr>
      <dsp:spPr>
        <a:xfrm>
          <a:off x="4259354" y="66127"/>
          <a:ext cx="384838" cy="384838"/>
        </a:xfrm>
        <a:prstGeom prst="chord">
          <a:avLst>
            <a:gd name="adj1" fmla="val 16200000"/>
            <a:gd name="adj2" fmla="val 16200000"/>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7142E132-3855-2940-8264-0DC582AA2630}">
      <dsp:nvSpPr>
        <dsp:cNvPr id="0" name=""/>
        <dsp:cNvSpPr/>
      </dsp:nvSpPr>
      <dsp:spPr>
        <a:xfrm>
          <a:off x="4672911" y="499070"/>
          <a:ext cx="1662309" cy="2024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27940" rIns="27940" bIns="27940" numCol="1" spcCol="1270" anchor="t" anchorCtr="0">
          <a:noAutofit/>
        </a:bodyPr>
        <a:lstStyle/>
        <a:p>
          <a:pPr marL="0" lvl="0" indent="0" algn="l" defTabSz="466725">
            <a:lnSpc>
              <a:spcPct val="90000"/>
            </a:lnSpc>
            <a:spcBef>
              <a:spcPct val="0"/>
            </a:spcBef>
            <a:spcAft>
              <a:spcPct val="35000"/>
            </a:spcAft>
            <a:buNone/>
          </a:pPr>
          <a:r>
            <a:rPr lang="en-GB" sz="1050" kern="1200"/>
            <a:t>For example:</a:t>
          </a:r>
        </a:p>
        <a:p>
          <a:pPr marL="0" lvl="0" indent="0" algn="l" defTabSz="466725">
            <a:lnSpc>
              <a:spcPct val="90000"/>
            </a:lnSpc>
            <a:spcBef>
              <a:spcPct val="0"/>
            </a:spcBef>
            <a:spcAft>
              <a:spcPct val="35000"/>
            </a:spcAft>
            <a:buNone/>
          </a:pPr>
          <a:r>
            <a:rPr lang="en-GB" sz="1050" kern="1200"/>
            <a:t>Actively challenges unequal gender norms</a:t>
          </a:r>
        </a:p>
        <a:p>
          <a:pPr marL="0" lvl="0" indent="0" algn="l" defTabSz="466725">
            <a:lnSpc>
              <a:spcPct val="90000"/>
            </a:lnSpc>
            <a:spcBef>
              <a:spcPct val="0"/>
            </a:spcBef>
            <a:spcAft>
              <a:spcPct val="35000"/>
            </a:spcAft>
            <a:buNone/>
          </a:pPr>
          <a:r>
            <a:rPr lang="en-GB" sz="1050" kern="1200"/>
            <a:t>Survivor centred, including established and accessible mechanisms for support.</a:t>
          </a:r>
        </a:p>
        <a:p>
          <a:pPr marL="0" lvl="0" indent="0" algn="l" defTabSz="466725">
            <a:lnSpc>
              <a:spcPct val="90000"/>
            </a:lnSpc>
            <a:spcBef>
              <a:spcPct val="0"/>
            </a:spcBef>
            <a:spcAft>
              <a:spcPct val="35000"/>
            </a:spcAft>
            <a:buNone/>
          </a:pPr>
          <a:r>
            <a:rPr lang="en-GB" sz="1050" kern="1200"/>
            <a:t>Harm minimising strategies </a:t>
          </a:r>
        </a:p>
        <a:p>
          <a:pPr marL="0" lvl="0" indent="0" algn="l" defTabSz="466725">
            <a:lnSpc>
              <a:spcPct val="90000"/>
            </a:lnSpc>
            <a:spcBef>
              <a:spcPct val="0"/>
            </a:spcBef>
            <a:spcAft>
              <a:spcPct val="35000"/>
            </a:spcAft>
            <a:buNone/>
          </a:pPr>
          <a:r>
            <a:rPr lang="en-GB" sz="1050" kern="1200"/>
            <a:t>Regular quantiative and qualitative analysis of the state of gender inequality </a:t>
          </a:r>
          <a:r>
            <a:rPr lang="en-GB" sz="1050" i="0" kern="1200"/>
            <a:t>which is used to inform improvements to strategy</a:t>
          </a:r>
        </a:p>
        <a:p>
          <a:pPr marL="0" lvl="0" indent="0" algn="l" defTabSz="466725">
            <a:lnSpc>
              <a:spcPct val="90000"/>
            </a:lnSpc>
            <a:spcBef>
              <a:spcPct val="0"/>
            </a:spcBef>
            <a:spcAft>
              <a:spcPct val="35000"/>
            </a:spcAft>
            <a:buNone/>
          </a:pPr>
          <a:r>
            <a:rPr lang="en-GB" sz="1050" kern="1200"/>
            <a:t>Critical insitutitonal and individual awareness and self-reflection of complicity in harmful gender norms, practices and structures</a:t>
          </a:r>
        </a:p>
        <a:p>
          <a:pPr marL="0" lvl="0" indent="0" algn="l" defTabSz="466725">
            <a:lnSpc>
              <a:spcPct val="90000"/>
            </a:lnSpc>
            <a:spcBef>
              <a:spcPct val="0"/>
            </a:spcBef>
            <a:spcAft>
              <a:spcPct val="35000"/>
            </a:spcAft>
            <a:buNone/>
          </a:pPr>
          <a:r>
            <a:rPr lang="en-GB" sz="1050" kern="1200"/>
            <a:t>Intersectional approach </a:t>
          </a:r>
          <a:r>
            <a:rPr lang="en-GB" sz="1050" i="0" kern="1200"/>
            <a:t>to recognise and address intersecting forms of discrimination</a:t>
          </a:r>
        </a:p>
        <a:p>
          <a:pPr marL="0" lvl="0" indent="0" algn="l" defTabSz="466725">
            <a:lnSpc>
              <a:spcPct val="90000"/>
            </a:lnSpc>
            <a:spcBef>
              <a:spcPct val="0"/>
            </a:spcBef>
            <a:spcAft>
              <a:spcPct val="35000"/>
            </a:spcAft>
            <a:buNone/>
          </a:pPr>
          <a:r>
            <a:rPr lang="en-GB" sz="1050" kern="1200"/>
            <a:t>Integration of primary prevention into institutional and organisational core business </a:t>
          </a:r>
        </a:p>
        <a:p>
          <a:pPr marL="0" lvl="0" indent="0" algn="l" defTabSz="466725">
            <a:lnSpc>
              <a:spcPct val="90000"/>
            </a:lnSpc>
            <a:spcBef>
              <a:spcPct val="0"/>
            </a:spcBef>
            <a:spcAft>
              <a:spcPct val="35000"/>
            </a:spcAft>
            <a:buNone/>
          </a:pPr>
          <a:r>
            <a:rPr lang="en-GB" sz="1050" kern="1200"/>
            <a:t>Long-term and sustainable primary prevention change intiatives </a:t>
          </a:r>
        </a:p>
      </dsp:txBody>
      <dsp:txXfrm>
        <a:off x="4672911" y="499070"/>
        <a:ext cx="1662309" cy="2024410"/>
      </dsp:txXfrm>
    </dsp:sp>
    <dsp:sp modelId="{C36F8A69-D5FC-4847-B24B-43F97476E605}">
      <dsp:nvSpPr>
        <dsp:cNvPr id="0" name=""/>
        <dsp:cNvSpPr/>
      </dsp:nvSpPr>
      <dsp:spPr>
        <a:xfrm>
          <a:off x="4792515" y="18022"/>
          <a:ext cx="1423100" cy="4810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b" anchorCtr="0">
          <a:noAutofit/>
        </a:bodyPr>
        <a:lstStyle/>
        <a:p>
          <a:pPr marL="0" lvl="0" indent="0" algn="l" defTabSz="444500">
            <a:lnSpc>
              <a:spcPct val="90000"/>
            </a:lnSpc>
            <a:spcBef>
              <a:spcPct val="0"/>
            </a:spcBef>
            <a:spcAft>
              <a:spcPct val="35000"/>
            </a:spcAft>
            <a:buNone/>
          </a:pPr>
          <a:endParaRPr lang="en-GB" sz="1000" b="1" kern="1200"/>
        </a:p>
        <a:p>
          <a:pPr marL="0" lvl="0" indent="0" algn="l" defTabSz="444500">
            <a:lnSpc>
              <a:spcPct val="90000"/>
            </a:lnSpc>
            <a:spcBef>
              <a:spcPct val="0"/>
            </a:spcBef>
            <a:spcAft>
              <a:spcPct val="35000"/>
            </a:spcAft>
            <a:buNone/>
          </a:pPr>
          <a:r>
            <a:rPr lang="en-GB" sz="1000" b="1" kern="1200"/>
            <a:t>Gender transformative approaches </a:t>
          </a:r>
        </a:p>
      </dsp:txBody>
      <dsp:txXfrm>
        <a:off x="4792515" y="18022"/>
        <a:ext cx="1423100" cy="4810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EDDD62-E96C-DA42-A984-7CD5E10FD753}">
      <dsp:nvSpPr>
        <dsp:cNvPr id="0" name=""/>
        <dsp:cNvSpPr/>
      </dsp:nvSpPr>
      <dsp:spPr>
        <a:xfrm>
          <a:off x="820676" y="574467"/>
          <a:ext cx="1422772" cy="1422844"/>
        </a:xfrm>
        <a:prstGeom prst="circularArrow">
          <a:avLst>
            <a:gd name="adj1" fmla="val 10980"/>
            <a:gd name="adj2" fmla="val 1142322"/>
            <a:gd name="adj3" fmla="val 4500000"/>
            <a:gd name="adj4" fmla="val 10800000"/>
            <a:gd name="adj5" fmla="val 125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791A0E-4F4C-2C4F-A32D-C38AF581DFDF}">
      <dsp:nvSpPr>
        <dsp:cNvPr id="0" name=""/>
        <dsp:cNvSpPr/>
      </dsp:nvSpPr>
      <dsp:spPr>
        <a:xfrm>
          <a:off x="1134801" y="1089777"/>
          <a:ext cx="793987" cy="3968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Laws, policies and frameworks</a:t>
          </a:r>
        </a:p>
      </dsp:txBody>
      <dsp:txXfrm>
        <a:off x="1134801" y="1089777"/>
        <a:ext cx="793987" cy="396816"/>
      </dsp:txXfrm>
    </dsp:sp>
    <dsp:sp modelId="{C5B6866C-6D5D-C945-BDE1-E4E140E76BFF}">
      <dsp:nvSpPr>
        <dsp:cNvPr id="0" name=""/>
        <dsp:cNvSpPr/>
      </dsp:nvSpPr>
      <dsp:spPr>
        <a:xfrm>
          <a:off x="425417" y="1391982"/>
          <a:ext cx="1422772" cy="1422844"/>
        </a:xfrm>
        <a:prstGeom prst="leftCircularArrow">
          <a:avLst>
            <a:gd name="adj1" fmla="val 10980"/>
            <a:gd name="adj2" fmla="val 1142322"/>
            <a:gd name="adj3" fmla="val 6300000"/>
            <a:gd name="adj4" fmla="val 18900000"/>
            <a:gd name="adj5" fmla="val 12500"/>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43663B-7ABA-8644-AEFA-92B69607EA35}">
      <dsp:nvSpPr>
        <dsp:cNvPr id="0" name=""/>
        <dsp:cNvSpPr/>
      </dsp:nvSpPr>
      <dsp:spPr>
        <a:xfrm>
          <a:off x="737941" y="1909129"/>
          <a:ext cx="793987" cy="3968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Organisational policies and practices</a:t>
          </a:r>
        </a:p>
      </dsp:txBody>
      <dsp:txXfrm>
        <a:off x="737941" y="1909129"/>
        <a:ext cx="793987" cy="396816"/>
      </dsp:txXfrm>
    </dsp:sp>
    <dsp:sp modelId="{5174C10A-AFB0-634F-A140-1DFB329E4F6A}">
      <dsp:nvSpPr>
        <dsp:cNvPr id="0" name=""/>
        <dsp:cNvSpPr/>
      </dsp:nvSpPr>
      <dsp:spPr>
        <a:xfrm>
          <a:off x="820676" y="2213172"/>
          <a:ext cx="1422772" cy="1422844"/>
        </a:xfrm>
        <a:prstGeom prst="circularArrow">
          <a:avLst>
            <a:gd name="adj1" fmla="val 10980"/>
            <a:gd name="adj2" fmla="val 1142322"/>
            <a:gd name="adj3" fmla="val 4500000"/>
            <a:gd name="adj4" fmla="val 13500000"/>
            <a:gd name="adj5" fmla="val 125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CF5FB7-1F27-4C4C-80AB-2EC9F726F066}">
      <dsp:nvSpPr>
        <dsp:cNvPr id="0" name=""/>
        <dsp:cNvSpPr/>
      </dsp:nvSpPr>
      <dsp:spPr>
        <a:xfrm>
          <a:off x="1134801" y="2728022"/>
          <a:ext cx="793987" cy="3968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Resources</a:t>
          </a:r>
        </a:p>
      </dsp:txBody>
      <dsp:txXfrm>
        <a:off x="1134801" y="2728022"/>
        <a:ext cx="793987" cy="396816"/>
      </dsp:txXfrm>
    </dsp:sp>
    <dsp:sp modelId="{96B3F54A-11BB-954C-9072-5B0B3261E1B6}">
      <dsp:nvSpPr>
        <dsp:cNvPr id="0" name=""/>
        <dsp:cNvSpPr/>
      </dsp:nvSpPr>
      <dsp:spPr>
        <a:xfrm>
          <a:off x="425417" y="3032065"/>
          <a:ext cx="1422772" cy="1422844"/>
        </a:xfrm>
        <a:prstGeom prst="leftCircularArrow">
          <a:avLst>
            <a:gd name="adj1" fmla="val 10980"/>
            <a:gd name="adj2" fmla="val 1142322"/>
            <a:gd name="adj3" fmla="val 6300000"/>
            <a:gd name="adj4" fmla="val 18900000"/>
            <a:gd name="adj5" fmla="val 12500"/>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C9FC28-83C6-6447-81B3-89F795711618}">
      <dsp:nvSpPr>
        <dsp:cNvPr id="0" name=""/>
        <dsp:cNvSpPr/>
      </dsp:nvSpPr>
      <dsp:spPr>
        <a:xfrm>
          <a:off x="737941" y="3547375"/>
          <a:ext cx="793987" cy="3968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Power and decision-making</a:t>
          </a:r>
        </a:p>
      </dsp:txBody>
      <dsp:txXfrm>
        <a:off x="737941" y="3547375"/>
        <a:ext cx="793987" cy="396816"/>
      </dsp:txXfrm>
    </dsp:sp>
    <dsp:sp modelId="{D138FDDE-EF21-5B4B-8E82-7BFCB3A1C5C3}">
      <dsp:nvSpPr>
        <dsp:cNvPr id="0" name=""/>
        <dsp:cNvSpPr/>
      </dsp:nvSpPr>
      <dsp:spPr>
        <a:xfrm>
          <a:off x="921826" y="3944191"/>
          <a:ext cx="1222340" cy="1223058"/>
        </a:xfrm>
        <a:prstGeom prst="blockArc">
          <a:avLst>
            <a:gd name="adj1" fmla="val 13500000"/>
            <a:gd name="adj2" fmla="val 10800000"/>
            <a:gd name="adj3" fmla="val 1274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488FFD-4F7E-D042-8E2D-596FBBD1DA17}">
      <dsp:nvSpPr>
        <dsp:cNvPr id="0" name=""/>
        <dsp:cNvSpPr/>
      </dsp:nvSpPr>
      <dsp:spPr>
        <a:xfrm>
          <a:off x="1134801" y="4366727"/>
          <a:ext cx="793987" cy="3968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Attitudes, culture and behaviours</a:t>
          </a:r>
        </a:p>
      </dsp:txBody>
      <dsp:txXfrm>
        <a:off x="1134801" y="4366727"/>
        <a:ext cx="793987" cy="396816"/>
      </dsp:txXfrm>
    </dsp:sp>
  </dsp:spTree>
</dsp:drawing>
</file>

<file path=word/diagrams/layout1.xml><?xml version="1.0" encoding="utf-8"?>
<dgm:layoutDef xmlns:dgm="http://schemas.openxmlformats.org/drawingml/2006/diagram" xmlns:a="http://schemas.openxmlformats.org/drawingml/2006/main" uniqueId="urn:microsoft.com/office/officeart/2008/layout/IncreasingCircleProcess">
  <dgm:title val=""/>
  <dgm:desc val=""/>
  <dgm:catLst>
    <dgm:cat type="list" pri="8300"/>
    <dgm:cat type="process" pri="43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param type="horzAlign" val="ctr"/>
          <dgm:param type="vertAlign" val="t"/>
        </dgm:alg>
      </dgm:if>
      <dgm:else name="Name3">
        <dgm:alg type="lin">
          <dgm:param type="linDir" val="fromR"/>
          <dgm:param type="horzAlign" val="ctr"/>
          <dgm:param type="vertAlign" val="t"/>
        </dgm:alg>
      </dgm:else>
    </dgm:choose>
    <dgm:shape xmlns:r="http://schemas.openxmlformats.org/officeDocument/2006/relationships" r:blip="">
      <dgm:adjLst/>
    </dgm:shape>
    <dgm:constrLst>
      <dgm:constr type="primFontSz" for="des" forName="Child" val="65"/>
      <dgm:constr type="primFontSz" for="des" forName="Parent" val="65"/>
      <dgm:constr type="primFontSz" for="des" forName="Child" refType="primFontSz" refFor="des" refForName="Parent" op="lte"/>
      <dgm:constr type="w" for="ch" forName="composite" refType="w"/>
      <dgm:constr type="h" for="ch" forName="composite" refType="h"/>
      <dgm:constr type="sp" refType="w" refFor="ch" refForName="composite" op="equ" fact="0.05"/>
      <dgm:constr type="w" for="ch" forName="sibTrans" refType="h" refFor="ch" refForName="composite" op="equ" fact="0.04"/>
    </dgm:constrLst>
    <dgm:forEach name="nodesForEach" axis="ch" ptType="node" cnt="7">
      <dgm:layoutNode name="composite">
        <dgm:alg type="composite">
          <dgm:param type="ar" val="0.8"/>
        </dgm:alg>
        <dgm:choose name="Name4">
          <dgm:if name="Name5" func="var" arg="dir" op="equ" val="norm">
            <dgm:constrLst>
              <dgm:constr type="l" for="ch" forName="Child" refType="w" fact="0.29"/>
              <dgm:constr type="t" for="ch" forName="Child" refType="h" fact="0.192"/>
              <dgm:constr type="w" for="ch" forName="Child" refType="w" fact="0.71"/>
              <dgm:constr type="h" for="ch" forName="Child" refType="h" fact="0.808"/>
              <dgm:constr type="l" for="ch" forName="Parent" refType="w" fact="0.29"/>
              <dgm:constr type="t" for="ch" forName="Parent" refType="h" fact="0"/>
              <dgm:constr type="w" for="ch" forName="Parent" refType="w" fact="0.71"/>
              <dgm:constr type="h" for="ch" forName="Parent" refType="h" fact="0.192"/>
              <dgm:constr type="l" for="ch" forName="BackAccent" refType="w" fact="0"/>
              <dgm:constr type="t" for="ch" forName="BackAccent" refType="h" fact="0"/>
              <dgm:constr type="w" for="ch" forName="BackAccent" refType="w" fact="0.24"/>
              <dgm:constr type="h" for="ch" forName="BackAccent" refType="h" fact="0.192"/>
              <dgm:constr type="l" for="ch" forName="Accent" refType="w" fact="0.024"/>
              <dgm:constr type="t" for="ch" forName="Accent" refType="h" fact="0.0192"/>
              <dgm:constr type="w" for="ch" forName="Accent" refType="w" fact="0.192"/>
              <dgm:constr type="h" for="ch" forName="Accent" refType="h" fact="0.1536"/>
            </dgm:constrLst>
          </dgm:if>
          <dgm:else name="Name6">
            <dgm:constrLst>
              <dgm:constr type="r" for="ch" forName="Child" refType="w" fact="0.71"/>
              <dgm:constr type="t" for="ch" forName="Child" refType="h" fact="0.192"/>
              <dgm:constr type="w" for="ch" forName="Child" refType="w" fact="0.71"/>
              <dgm:constr type="h" for="ch" forName="Child" refType="h" fact="0.808"/>
              <dgm:constr type="r" for="ch" forName="Parent" refType="w" fact="0.71"/>
              <dgm:constr type="t" for="ch" forName="Parent" refType="h" fact="0"/>
              <dgm:constr type="w" for="ch" forName="Parent" refType="w" fact="0.71"/>
              <dgm:constr type="h" for="ch" forName="Parent" refType="h" fact="0.192"/>
              <dgm:constr type="r" for="ch" forName="BackAccent" refType="w"/>
              <dgm:constr type="t" for="ch" forName="BackAccent" refType="h" fact="0"/>
              <dgm:constr type="w" for="ch" forName="BackAccent" refType="w" fact="0.24"/>
              <dgm:constr type="h" for="ch" forName="BackAccent" refType="h" fact="0.192"/>
              <dgm:constr type="r" for="ch" forName="Accent" refType="w" fact="0.976"/>
              <dgm:constr type="t" for="ch" forName="Accent" refType="h" fact="0.0192"/>
              <dgm:constr type="w" for="ch" forName="Accent" refType="w" fact="0.192"/>
              <dgm:constr type="h" for="ch" forName="Accent" refType="h" fact="0.1536"/>
            </dgm:constrLst>
          </dgm:else>
        </dgm:choose>
        <dgm:layoutNode name="BackAccent" styleLbl="bgShp">
          <dgm:alg type="sp"/>
          <dgm:shape xmlns:r="http://schemas.openxmlformats.org/officeDocument/2006/relationships" type="ellipse" r:blip="">
            <dgm:adjLst/>
          </dgm:shape>
          <dgm:presOf/>
        </dgm:layoutNode>
        <dgm:layoutNode name="Accent" styleLbl="alignNode1">
          <dgm:alg type="sp"/>
          <dgm:choose name="Name7">
            <dgm:if name="Name8" axis="precedSib" ptType="node" func="cnt" op="equ" val="0">
              <dgm:choose name="Name9">
                <dgm:if name="Name10" axis="followSib" ptType="node" func="cnt" op="equ" val="0">
                  <dgm:shape xmlns:r="http://schemas.openxmlformats.org/officeDocument/2006/relationships" type="chord" r:blip="">
                    <dgm:adjLst>
                      <dgm:adj idx="1" val="-90"/>
                      <dgm:adj idx="2" val="-90"/>
                    </dgm:adjLst>
                  </dgm:shape>
                </dgm:if>
                <dgm:if name="Name11" axis="followSib" ptType="node" func="cnt" op="equ" val="1">
                  <dgm:shape xmlns:r="http://schemas.openxmlformats.org/officeDocument/2006/relationships" type="chord" r:blip="">
                    <dgm:adjLst>
                      <dgm:adj idx="1" val="0"/>
                      <dgm:adj idx="2" val="180"/>
                    </dgm:adjLst>
                  </dgm:shape>
                </dgm:if>
                <dgm:if name="Name12" axis="followSib" ptType="node" func="cnt" op="equ" val="2">
                  <dgm:shape xmlns:r="http://schemas.openxmlformats.org/officeDocument/2006/relationships" type="chord" r:blip="">
                    <dgm:adjLst>
                      <dgm:adj idx="1" val="19.4712"/>
                      <dgm:adj idx="2" val="160.5288"/>
                    </dgm:adjLst>
                  </dgm:shape>
                </dgm:if>
                <dgm:if name="Name13" axis="followSib" ptType="node" func="cnt" op="equ" val="3">
                  <dgm:shape xmlns:r="http://schemas.openxmlformats.org/officeDocument/2006/relationships" type="chord" r:blip="">
                    <dgm:adjLst>
                      <dgm:adj idx="1" val="30"/>
                      <dgm:adj idx="2" val="150"/>
                    </dgm:adjLst>
                  </dgm:shape>
                </dgm:if>
                <dgm:if name="Name14" axis="followSib" ptType="node" func="cnt" op="equ" val="4">
                  <dgm:shape xmlns:r="http://schemas.openxmlformats.org/officeDocument/2006/relationships" type="chord" r:blip="">
                    <dgm:adjLst>
                      <dgm:adj idx="1" val="38.8699"/>
                      <dgm:adj idx="2" val="143.1301"/>
                    </dgm:adjLst>
                  </dgm:shape>
                </dgm:if>
                <dgm:if name="Name15" axis="followSib" ptType="node" func="cnt" op="equ" val="5">
                  <dgm:shape xmlns:r="http://schemas.openxmlformats.org/officeDocument/2006/relationships" type="chord" r:blip="">
                    <dgm:adjLst>
                      <dgm:adj idx="1" val="41.8103"/>
                      <dgm:adj idx="2" val="138.1897"/>
                    </dgm:adjLst>
                  </dgm:shape>
                </dgm:if>
                <dgm:else name="Name16">
                  <dgm:shape xmlns:r="http://schemas.openxmlformats.org/officeDocument/2006/relationships" type="chord" r:blip="">
                    <dgm:adjLst>
                      <dgm:adj idx="1" val="45.5847"/>
                      <dgm:adj idx="2" val="134.4153"/>
                    </dgm:adjLst>
                  </dgm:shape>
                </dgm:else>
              </dgm:choose>
            </dgm:if>
            <dgm:if name="Name17" axis="precedSib" ptType="node" func="cnt" op="equ" val="1">
              <dgm:choose name="Name18">
                <dgm:if name="Name19" axis="followSib" ptType="node" func="cnt" op="equ" val="0">
                  <dgm:shape xmlns:r="http://schemas.openxmlformats.org/officeDocument/2006/relationships" type="chord" r:blip="">
                    <dgm:adjLst>
                      <dgm:adj idx="1" val="-90"/>
                      <dgm:adj idx="2" val="-90"/>
                    </dgm:adjLst>
                  </dgm:shape>
                </dgm:if>
                <dgm:if name="Name20" axis="followSib" ptType="node" func="cnt" op="equ" val="1">
                  <dgm:shape xmlns:r="http://schemas.openxmlformats.org/officeDocument/2006/relationships" type="chord" r:blip="">
                    <dgm:adjLst>
                      <dgm:adj idx="1" val="-19.4712"/>
                      <dgm:adj idx="2" val="-160.5288"/>
                    </dgm:adjLst>
                  </dgm:shape>
                </dgm:if>
                <dgm:if name="Name21" axis="followSib" ptType="node" func="cnt" op="equ" val="2">
                  <dgm:shape xmlns:r="http://schemas.openxmlformats.org/officeDocument/2006/relationships" type="chord" r:blip="">
                    <dgm:adjLst>
                      <dgm:adj idx="1" val="0"/>
                      <dgm:adj idx="2" val="180"/>
                    </dgm:adjLst>
                  </dgm:shape>
                </dgm:if>
                <dgm:if name="Name22" axis="followSib" ptType="node" func="cnt" op="equ" val="3">
                  <dgm:shape xmlns:r="http://schemas.openxmlformats.org/officeDocument/2006/relationships" type="chord" r:blip="">
                    <dgm:adjLst>
                      <dgm:adj idx="1" val="11.537"/>
                      <dgm:adj idx="2" val="168.463"/>
                    </dgm:adjLst>
                  </dgm:shape>
                </dgm:if>
                <dgm:if name="Name23" axis="followSib" ptType="node" func="cnt" op="equ" val="4">
                  <dgm:shape xmlns:r="http://schemas.openxmlformats.org/officeDocument/2006/relationships" type="chord" r:blip="">
                    <dgm:adjLst>
                      <dgm:adj idx="1" val="19.4712"/>
                      <dgm:adj idx="2" val="160.5288"/>
                    </dgm:adjLst>
                  </dgm:shape>
                </dgm:if>
                <dgm:else name="Name24">
                  <dgm:shape xmlns:r="http://schemas.openxmlformats.org/officeDocument/2006/relationships" type="chord" r:blip="">
                    <dgm:adjLst>
                      <dgm:adj idx="1" val="25.3769"/>
                      <dgm:adj idx="2" val="154.6231"/>
                    </dgm:adjLst>
                  </dgm:shape>
                </dgm:else>
              </dgm:choose>
            </dgm:if>
            <dgm:if name="Name25" axis="precedSib" ptType="node" func="cnt" op="equ" val="2">
              <dgm:choose name="Name26">
                <dgm:if name="Name27" axis="followSib" ptType="node" func="cnt" op="equ" val="0">
                  <dgm:shape xmlns:r="http://schemas.openxmlformats.org/officeDocument/2006/relationships" type="chord" r:blip="">
                    <dgm:adjLst>
                      <dgm:adj idx="1" val="-90"/>
                      <dgm:adj idx="2" val="-90"/>
                    </dgm:adjLst>
                  </dgm:shape>
                </dgm:if>
                <dgm:if name="Name28" axis="followSib" ptType="node" func="cnt" op="equ" val="1">
                  <dgm:shape xmlns:r="http://schemas.openxmlformats.org/officeDocument/2006/relationships" type="chord" r:blip="">
                    <dgm:adjLst>
                      <dgm:adj idx="1" val="-30"/>
                      <dgm:adj idx="2" val="-150"/>
                    </dgm:adjLst>
                  </dgm:shape>
                </dgm:if>
                <dgm:if name="Name29" axis="followSib" ptType="node" func="cnt" op="equ" val="2">
                  <dgm:shape xmlns:r="http://schemas.openxmlformats.org/officeDocument/2006/relationships" type="chord" r:blip="">
                    <dgm:adjLst>
                      <dgm:adj idx="1" val="-11.537"/>
                      <dgm:adj idx="2" val="-168.463"/>
                    </dgm:adjLst>
                  </dgm:shape>
                </dgm:if>
                <dgm:if name="Name30" axis="followSib" ptType="node" func="cnt" op="equ" val="3">
                  <dgm:shape xmlns:r="http://schemas.openxmlformats.org/officeDocument/2006/relationships" type="chord" r:blip="">
                    <dgm:adjLst>
                      <dgm:adj idx="1" val="0"/>
                      <dgm:adj idx="2" val="180"/>
                    </dgm:adjLst>
                  </dgm:shape>
                </dgm:if>
                <dgm:else name="Name31">
                  <dgm:shape xmlns:r="http://schemas.openxmlformats.org/officeDocument/2006/relationships" type="chord" r:blip="">
                    <dgm:adjLst>
                      <dgm:adj idx="1" val="8.2133"/>
                      <dgm:adj idx="2" val="171.7867"/>
                    </dgm:adjLst>
                  </dgm:shape>
                </dgm:else>
              </dgm:choose>
            </dgm:if>
            <dgm:if name="Name32" axis="precedSib" ptType="node" func="cnt" op="equ" val="3">
              <dgm:choose name="Name33">
                <dgm:if name="Name34" axis="followSib" ptType="node" func="cnt" op="equ" val="0">
                  <dgm:shape xmlns:r="http://schemas.openxmlformats.org/officeDocument/2006/relationships" type="chord" r:blip="">
                    <dgm:adjLst>
                      <dgm:adj idx="1" val="-90"/>
                      <dgm:adj idx="2" val="-90"/>
                    </dgm:adjLst>
                  </dgm:shape>
                </dgm:if>
                <dgm:if name="Name35" axis="followSib" ptType="node" func="cnt" op="equ" val="1">
                  <dgm:shape xmlns:r="http://schemas.openxmlformats.org/officeDocument/2006/relationships" type="chord" r:blip="">
                    <dgm:adjLst>
                      <dgm:adj idx="1" val="-38.8699"/>
                      <dgm:adj idx="2" val="-143.1301"/>
                    </dgm:adjLst>
                  </dgm:shape>
                </dgm:if>
                <dgm:if name="Name36" axis="followSib" ptType="node" func="cnt" op="equ" val="2">
                  <dgm:shape xmlns:r="http://schemas.openxmlformats.org/officeDocument/2006/relationships" type="chord" r:blip="">
                    <dgm:adjLst>
                      <dgm:adj idx="1" val="-19.4712"/>
                      <dgm:adj idx="2" val="-160.5288"/>
                    </dgm:adjLst>
                  </dgm:shape>
                </dgm:if>
                <dgm:else name="Name37">
                  <dgm:shape xmlns:r="http://schemas.openxmlformats.org/officeDocument/2006/relationships" type="chord" r:blip="">
                    <dgm:adjLst>
                      <dgm:adj idx="1" val="-8.2133"/>
                      <dgm:adj idx="2" val="-171.7867"/>
                    </dgm:adjLst>
                  </dgm:shape>
                </dgm:else>
              </dgm:choose>
            </dgm:if>
            <dgm:if name="Name38" axis="precedSib" ptType="node" func="cnt" op="equ" val="4">
              <dgm:choose name="Name39">
                <dgm:if name="Name40" axis="followSib" ptType="node" func="cnt" op="equ" val="0">
                  <dgm:shape xmlns:r="http://schemas.openxmlformats.org/officeDocument/2006/relationships" type="chord" r:blip="">
                    <dgm:adjLst>
                      <dgm:adj idx="1" val="-90"/>
                      <dgm:adj idx="2" val="-90"/>
                    </dgm:adjLst>
                  </dgm:shape>
                </dgm:if>
                <dgm:if name="Name41" axis="followSib" ptType="node" func="cnt" op="equ" val="1">
                  <dgm:shape xmlns:r="http://schemas.openxmlformats.org/officeDocument/2006/relationships" type="chord" r:blip="">
                    <dgm:adjLst>
                      <dgm:adj idx="1" val="-41.8103"/>
                      <dgm:adj idx="2" val="-138.1897"/>
                    </dgm:adjLst>
                  </dgm:shape>
                </dgm:if>
                <dgm:else name="Name42">
                  <dgm:shape xmlns:r="http://schemas.openxmlformats.org/officeDocument/2006/relationships" type="chord" r:blip="">
                    <dgm:adjLst>
                      <dgm:adj idx="1" val="-25.3769"/>
                      <dgm:adj idx="2" val="-154.6231"/>
                    </dgm:adjLst>
                  </dgm:shape>
                </dgm:else>
              </dgm:choose>
            </dgm:if>
            <dgm:if name="Name43" axis="precedSib" ptType="node" func="cnt" op="equ" val="5">
              <dgm:choose name="Name44">
                <dgm:if name="Name45" axis="followSib" ptType="node" func="cnt" op="equ" val="0">
                  <dgm:shape xmlns:r="http://schemas.openxmlformats.org/officeDocument/2006/relationships" type="chord" r:blip="">
                    <dgm:adjLst>
                      <dgm:adj idx="1" val="-90"/>
                      <dgm:adj idx="2" val="-90"/>
                    </dgm:adjLst>
                  </dgm:shape>
                </dgm:if>
                <dgm:else name="Name46">
                  <dgm:shape xmlns:r="http://schemas.openxmlformats.org/officeDocument/2006/relationships" type="chord" r:blip="">
                    <dgm:adjLst>
                      <dgm:adj idx="1" val="-45.5847"/>
                      <dgm:adj idx="2" val="-134.4153"/>
                    </dgm:adjLst>
                  </dgm:shape>
                </dgm:else>
              </dgm:choose>
            </dgm:if>
            <dgm:else name="Name47">
              <dgm:shape xmlns:r="http://schemas.openxmlformats.org/officeDocument/2006/relationships" type="chord" r:blip="">
                <dgm:adjLst>
                  <dgm:adj idx="1" val="-90"/>
                  <dgm:adj idx="2" val="-90"/>
                </dgm:adjLst>
              </dgm:shape>
            </dgm:else>
          </dgm:choose>
          <dgm:presOf/>
        </dgm:layoutNode>
        <dgm:layoutNode name="Child" styleLbl="revTx">
          <dgm:varLst>
            <dgm:chMax val="0"/>
            <dgm:chPref val="0"/>
            <dgm:bulletEnabled val="1"/>
          </dgm:varLst>
          <dgm:choose name="Name48">
            <dgm:if name="Name49" func="var" arg="dir" op="equ" val="norm">
              <dgm:alg type="tx">
                <dgm:param type="parTxLTRAlign" val="l"/>
                <dgm:param type="parTxRTLAlign" val="l"/>
                <dgm:param type="txAnchorVert" val="t"/>
              </dgm:alg>
            </dgm:if>
            <dgm:else name="Name50">
              <dgm:alg type="tx">
                <dgm:param type="parTxLTRAlign" val="r"/>
                <dgm:param type="parTxRTLAlign" val="r"/>
                <dgm:param type="txAnchorVert" val="t"/>
              </dgm:alg>
            </dgm:else>
          </dgm:choose>
          <dgm:choose name="Name51">
            <dgm:if name="Name52" axis="ch" ptType="node" func="cnt" op="gte" val="1">
              <dgm:shape xmlns:r="http://schemas.openxmlformats.org/officeDocument/2006/relationships" type="rect" r:blip="">
                <dgm:adjLst/>
              </dgm:shape>
            </dgm:if>
            <dgm:else name="Name53">
              <dgm:shape xmlns:r="http://schemas.openxmlformats.org/officeDocument/2006/relationships" type="rect" r:blip="" hideGeom="1">
                <dgm:adjLst/>
              </dgm:shape>
            </dgm:else>
          </dgm:choose>
          <dgm:choose name="Name54">
            <dgm:if name="Name55" axis="ch" ptType="node" func="cnt" op="gte" val="1">
              <dgm:presOf axis="des" ptType="node"/>
            </dgm:if>
            <dgm:else name="Name56">
              <dgm:presOf/>
            </dgm:else>
          </dgm:choos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Parent" styleLbl="revTx">
          <dgm:varLst>
            <dgm:chMax val="1"/>
            <dgm:chPref val="1"/>
            <dgm:bulletEnabled val="1"/>
          </dgm:varLst>
          <dgm:choose name="Name57">
            <dgm:if name="Name58" func="var" arg="dir" op="equ" val="norm">
              <dgm:alg type="tx">
                <dgm:param type="parTxLTRAlign" val="l"/>
                <dgm:param type="parTxRTLAlign" val="l"/>
                <dgm:param type="shpTxLTRAlignCh" val="l"/>
                <dgm:param type="shpTxRTLAlignCh" val="l"/>
                <dgm:param type="txAnchorVert" val="b"/>
                <dgm:param type="txAnchorVertCh" val="b"/>
              </dgm:alg>
            </dgm:if>
            <dgm:else name="Name59">
              <dgm:alg type="tx">
                <dgm:param type="parTxLTRAlign" val="r"/>
                <dgm:param type="parTxRTLAlign" val="r"/>
                <dgm:param type="shpTxLTRAlignCh" val="r"/>
                <dgm:param type="shpTxRTLAlignCh" val="r"/>
                <dgm:param type="txAnchorVert" val="b"/>
                <dgm:param type="txAnchorVertCh" val="b"/>
              </dgm:alg>
            </dgm:else>
          </dgm:choose>
          <dgm:shape xmlns:r="http://schemas.openxmlformats.org/officeDocument/2006/relationships" type="rect" r:blip="">
            <dgm:adjLst/>
          </dgm:shape>
          <dgm:presOf axis="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F81CAF7A2FE64EB673B694A8F5ADA6" ma:contentTypeVersion="4" ma:contentTypeDescription="Create a new document." ma:contentTypeScope="" ma:versionID="4718d8fd6cf2727034da29404aaf9b9b">
  <xsd:schema xmlns:xsd="http://www.w3.org/2001/XMLSchema" xmlns:xs="http://www.w3.org/2001/XMLSchema" xmlns:p="http://schemas.microsoft.com/office/2006/metadata/properties" xmlns:ns2="eb64228d-b015-48ef-9758-73ecde5ec1bc" targetNamespace="http://schemas.microsoft.com/office/2006/metadata/properties" ma:root="true" ma:fieldsID="48990859bd3de5cb408f8d33a5668ae2" ns2:_="">
    <xsd:import namespace="eb64228d-b015-48ef-9758-73ecde5ec1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228d-b015-48ef-9758-73ecde5ec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A848D-DD3F-4A99-8B13-9EAC31921C60}">
  <ds:schemaRefs>
    <ds:schemaRef ds:uri="http://www.w3.org/2001/XMLSchema"/>
  </ds:schemaRefs>
</ds:datastoreItem>
</file>

<file path=customXml/itemProps2.xml><?xml version="1.0" encoding="utf-8"?>
<ds:datastoreItem xmlns:ds="http://schemas.openxmlformats.org/officeDocument/2006/customXml" ds:itemID="{FCAB3957-99E6-4F8B-B24F-6D1882DE1D87}">
  <ds:schemaRefs>
    <ds:schemaRef ds:uri="eb64228d-b015-48ef-9758-73ecde5ec1b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03252A8-F72D-324E-B9C6-ED9899D52524}">
  <ds:schemaRefs>
    <ds:schemaRef ds:uri="http://schemas.openxmlformats.org/officeDocument/2006/bibliography"/>
  </ds:schemaRefs>
</ds:datastoreItem>
</file>

<file path=customXml/itemProps4.xml><?xml version="1.0" encoding="utf-8"?>
<ds:datastoreItem xmlns:ds="http://schemas.openxmlformats.org/officeDocument/2006/customXml" ds:itemID="{5125FCA6-528D-4C7F-8549-48392E329F22}">
  <ds:schemaRefs>
    <ds:schemaRef ds:uri="http://schemas.microsoft.com/sharepoint/v3/contenttype/forms"/>
  </ds:schemaRefs>
</ds:datastoreItem>
</file>

<file path=customXml/itemProps5.xml><?xml version="1.0" encoding="utf-8"?>
<ds:datastoreItem xmlns:ds="http://schemas.openxmlformats.org/officeDocument/2006/customXml" ds:itemID="{76805408-E7AD-4CA1-BBCB-6170703DE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4228d-b015-48ef-9758-73ecde5ec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35988</Words>
  <Characters>205132</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Brighton Grammar School</Company>
  <LinksUpToDate>false</LinksUpToDate>
  <CharactersWithSpaces>240639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Tan</dc:creator>
  <cp:keywords/>
  <dc:description/>
  <cp:lastModifiedBy>Chloe Papas (RespectVictoria)</cp:lastModifiedBy>
  <cp:revision>2</cp:revision>
  <cp:lastPrinted>2022-05-16T01:34:00Z</cp:lastPrinted>
  <dcterms:created xsi:type="dcterms:W3CDTF">2022-08-12T04:36:00Z</dcterms:created>
  <dcterms:modified xsi:type="dcterms:W3CDTF">2022-08-12T04:36:00Z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0x01010033F81CAF7A2FE64EB673B694A8F5ADA6</vt:lpwstr>
  </property>
  <property fmtid="{D5CDD505-2E9C-101B-9397-08002B2CF9AE}" pid="3" name="MSIP_Label_7158ebbd-6c5e-441f-bfc9-4eb8c11e3978_Enabled">
    <vt:lpwstr>true</vt:lpwstr>
  </property>
  <property fmtid="{D5CDD505-2E9C-101B-9397-08002B2CF9AE}" pid="4" name="MSIP_Label_7158ebbd-6c5e-441f-bfc9-4eb8c11e3978_SetDate">
    <vt:lpwstr>2021-07-02T01:01:43Z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c8af9441-6be0-4acf-9d16-75fa600b69e0</vt:lpwstr>
  </property>
  <property fmtid="{D5CDD505-2E9C-101B-9397-08002B2CF9AE}" pid="9" name="MSIP_Label_7158ebbd-6c5e-441f-bfc9-4eb8c11e3978_ContentBits">
    <vt:lpwstr>2</vt:lpwstr>
  </property>
</Properties>
</file>