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2FAC25BA">
                <wp:simplePos x="0" y="0"/>
                <wp:positionH relativeFrom="margin">
                  <wp:posOffset>-8022</wp:posOffset>
                </wp:positionH>
                <wp:positionV relativeFrom="page">
                  <wp:posOffset>529389</wp:posOffset>
                </wp:positionV>
                <wp:extent cx="6487427" cy="2475230"/>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6487427"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2CFAF743" w:rsidR="002748EB" w:rsidRPr="004D4EDE" w:rsidRDefault="00DB5ED7" w:rsidP="00FB34A5">
                            <w:pPr>
                              <w:pStyle w:val="Title"/>
                              <w:rPr>
                                <w:sz w:val="136"/>
                                <w:szCs w:val="136"/>
                              </w:rPr>
                            </w:pPr>
                            <w:r w:rsidRPr="004D4EDE">
                              <w:rPr>
                                <w:sz w:val="136"/>
                                <w:szCs w:val="136"/>
                              </w:rPr>
                              <w:t>Women’s intimate partner violence against men</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65pt;margin-top:41.7pt;width:510.8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&#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2CFAF743" w:rsidR="002748EB" w:rsidRPr="004D4EDE" w:rsidRDefault="00DB5ED7" w:rsidP="00FB34A5">
                      <w:pPr>
                        <w:pStyle w:val="Title"/>
                        <w:rPr>
                          <w:sz w:val="136"/>
                          <w:szCs w:val="136"/>
                        </w:rPr>
                      </w:pPr>
                      <w:r w:rsidRPr="004D4EDE">
                        <w:rPr>
                          <w:sz w:val="136"/>
                          <w:szCs w:val="136"/>
                        </w:rPr>
                        <w:t>Women’s intimate partner violence against men</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&#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54BF4FCA">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60B05E9E" w:rsidR="00BC10E6" w:rsidRPr="00E97906" w:rsidRDefault="00522A5F"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1CD6904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&#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D30BE8" w:rsidRPr="00D30BE8">
        <w:t xml:space="preserve">Intimate partner violence perpetrated by women against </w:t>
      </w:r>
      <w:proofErr w:type="gramStart"/>
      <w:r w:rsidR="00D30BE8" w:rsidRPr="00D30BE8">
        <w:t>men</w:t>
      </w:r>
      <w:proofErr w:type="gramEnd"/>
    </w:p>
    <w:p w14:paraId="6452F2C3" w14:textId="6C7CBC89" w:rsidR="0047459C" w:rsidRDefault="0047459C" w:rsidP="0047459C">
      <w:r>
        <w:t xml:space="preserve">This research summary draws on an evidence review undertaken by Michael Salter and </w:t>
      </w:r>
      <w:r w:rsidR="004A606B" w:rsidRPr="004A606B">
        <w:t>Delanie</w:t>
      </w:r>
      <w:r>
        <w:t xml:space="preserve"> </w:t>
      </w:r>
      <w:proofErr w:type="spellStart"/>
      <w:r w:rsidR="00EA4D4A" w:rsidRPr="00EA4D4A">
        <w:t>Woodl</w:t>
      </w:r>
      <w:r w:rsidR="0052642A">
        <w:t>o</w:t>
      </w:r>
      <w:r w:rsidR="00EA4D4A" w:rsidRPr="00EA4D4A">
        <w:t>ck</w:t>
      </w:r>
      <w:proofErr w:type="spellEnd"/>
      <w:r w:rsidR="00EA4D4A" w:rsidRPr="00EA4D4A">
        <w:t xml:space="preserve"> </w:t>
      </w:r>
      <w:r>
        <w:t xml:space="preserve">(University of New South Wales) in 2022 as part of the </w:t>
      </w:r>
      <w:r w:rsidRPr="0047459C">
        <w:rPr>
          <w:i/>
          <w:iCs/>
        </w:rPr>
        <w:t>Summarising the evidence</w:t>
      </w:r>
      <w:r>
        <w:t xml:space="preserve"> project. The summary was developed by Respect Victoria in consultation with the evidence review authors.</w:t>
      </w:r>
    </w:p>
    <w:p w14:paraId="14AE71BF" w14:textId="311595C7" w:rsidR="00FE0C04" w:rsidRDefault="0047459C" w:rsidP="0047459C">
      <w:r>
        <w:t xml:space="preserve">Visit the </w:t>
      </w:r>
      <w:hyperlink r:id="rId14" w:history="1">
        <w:r w:rsidRPr="00790BC2">
          <w:rPr>
            <w:rStyle w:val="Hyperlink"/>
            <w:rFonts w:ascii="Arial" w:hAnsi="Arial"/>
            <w:i/>
            <w:iCs/>
          </w:rPr>
          <w:t>Summarising the evidence</w:t>
        </w:r>
        <w:r w:rsidRPr="00790BC2">
          <w:rPr>
            <w:rStyle w:val="Hyperlink"/>
            <w:rFonts w:ascii="Arial" w:hAnsi="Arial"/>
          </w:rPr>
          <w:t xml:space="preserve"> project page</w:t>
        </w:r>
      </w:hyperlink>
      <w:r>
        <w:t xml:space="preserve"> for the accompanying context brief, as well as information about the scope and aims of the project.</w:t>
      </w:r>
    </w:p>
    <w:p w14:paraId="54D7E3F3" w14:textId="0CAA17E5" w:rsidR="00607D7F" w:rsidRDefault="00607D7F" w:rsidP="0047459C">
      <w:r w:rsidRPr="00607D7F">
        <w:t>Respect Victoria gratefully acknowledges the work of the Australian Institute of Family Studies and all authors in conducting this work.</w:t>
      </w:r>
    </w:p>
    <w:p w14:paraId="73279747" w14:textId="77777777" w:rsidR="00FE0C04" w:rsidRDefault="00FE0C04" w:rsidP="00DE6DB3"/>
    <w:p w14:paraId="428BE550" w14:textId="77777777" w:rsidR="00FE0C04" w:rsidRDefault="00FE0C04" w:rsidP="00DE6DB3"/>
    <w:p w14:paraId="2CB2CDFB" w14:textId="77777777" w:rsidR="00837D46" w:rsidRDefault="00837D46" w:rsidP="00CE2F77"/>
    <w:p w14:paraId="0EDCE2E1" w14:textId="77777777" w:rsidR="00CE2F77" w:rsidRDefault="00CE2F77" w:rsidP="00CE2F77"/>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04E21176" w14:textId="77777777" w:rsidR="00CE2F77" w:rsidRDefault="00CE2F77" w:rsidP="00CE2F77"/>
    <w:p w14:paraId="626B7843" w14:textId="77777777" w:rsidR="00CE2F77" w:rsidRDefault="00CE2F77" w:rsidP="00CE2F77"/>
    <w:p w14:paraId="7E3002A3" w14:textId="77777777" w:rsidR="00CE2F77" w:rsidRPr="006D1835" w:rsidRDefault="00CE2F77" w:rsidP="00CE2F77"/>
    <w:p w14:paraId="79B2EDA3" w14:textId="77777777" w:rsidR="00CE2F77" w:rsidRPr="00BC10E6" w:rsidRDefault="00CE2F77" w:rsidP="00CE2F77"/>
    <w:p w14:paraId="32194733" w14:textId="77777777" w:rsidR="00E97906" w:rsidRDefault="00E97906" w:rsidP="00BC10E6"/>
    <w:p w14:paraId="0ECD4F4A" w14:textId="77777777" w:rsidR="000450A2" w:rsidRDefault="000450A2" w:rsidP="00BC10E6"/>
    <w:p w14:paraId="00A556F7" w14:textId="77777777" w:rsidR="00522A5F" w:rsidRDefault="00522A5F" w:rsidP="00CE2F77">
      <w:pPr>
        <w:pStyle w:val="Heading2"/>
      </w:pPr>
    </w:p>
    <w:tbl>
      <w:tblPr>
        <w:tblStyle w:val="RespectVictoriaTable"/>
        <w:tblW w:w="9935" w:type="dxa"/>
        <w:tblLook w:val="04A0" w:firstRow="1" w:lastRow="0" w:firstColumn="1" w:lastColumn="0" w:noHBand="0" w:noVBand="1"/>
      </w:tblPr>
      <w:tblGrid>
        <w:gridCol w:w="1747"/>
        <w:gridCol w:w="8188"/>
      </w:tblGrid>
      <w:tr w:rsidR="00607D7F" w:rsidRPr="00077FBD" w14:paraId="4C58CDE1" w14:textId="77777777" w:rsidTr="00607D7F">
        <w:trPr>
          <w:cnfStyle w:val="100000000000" w:firstRow="1" w:lastRow="0" w:firstColumn="0" w:lastColumn="0" w:oddVBand="0" w:evenVBand="0" w:oddHBand="0" w:evenHBand="0" w:firstRowFirstColumn="0" w:firstRowLastColumn="0" w:lastRowFirstColumn="0" w:lastRowLastColumn="0"/>
          <w:trHeight w:val="311"/>
        </w:trPr>
        <w:tc>
          <w:tcPr>
            <w:tcW w:w="1747" w:type="dxa"/>
          </w:tcPr>
          <w:p w14:paraId="76DEB1CF" w14:textId="77777777" w:rsidR="00607D7F" w:rsidRPr="00607D7F" w:rsidRDefault="00607D7F" w:rsidP="00607D7F">
            <w:r w:rsidRPr="00607D7F">
              <w:rPr>
                <w:lang w:val="en-GB"/>
              </w:rPr>
              <w:lastRenderedPageBreak/>
              <w:br w:type="page"/>
            </w:r>
            <w:r w:rsidRPr="00607D7F">
              <w:t>Domain</w:t>
            </w:r>
          </w:p>
        </w:tc>
        <w:tc>
          <w:tcPr>
            <w:tcW w:w="8188" w:type="dxa"/>
          </w:tcPr>
          <w:p w14:paraId="58583E3F" w14:textId="77777777" w:rsidR="00607D7F" w:rsidRPr="00B476DF" w:rsidRDefault="00607D7F" w:rsidP="00607D7F">
            <w:r w:rsidRPr="00B476DF">
              <w:t>Summary of research</w:t>
            </w:r>
          </w:p>
        </w:tc>
      </w:tr>
      <w:tr w:rsidR="00607D7F" w:rsidRPr="00A54CE5" w14:paraId="7AF4B786" w14:textId="77777777" w:rsidTr="00607D7F">
        <w:trPr>
          <w:trHeight w:val="418"/>
        </w:trPr>
        <w:tc>
          <w:tcPr>
            <w:tcW w:w="1747" w:type="dxa"/>
          </w:tcPr>
          <w:p w14:paraId="05DF0629" w14:textId="77777777" w:rsidR="00607D7F" w:rsidRPr="00607D7F" w:rsidRDefault="00607D7F" w:rsidP="00607D7F">
            <w:pPr>
              <w:rPr>
                <w:rFonts w:eastAsia="Times New Roman"/>
                <w:b/>
                <w:szCs w:val="20"/>
                <w:lang w:eastAsia="en-AU" w:bidi="en-US"/>
              </w:rPr>
            </w:pPr>
            <w:r w:rsidRPr="00607D7F">
              <w:rPr>
                <w:rFonts w:eastAsia="Times New Roman"/>
                <w:b/>
                <w:szCs w:val="20"/>
                <w:lang w:eastAsia="en-AU" w:bidi="en-US"/>
              </w:rPr>
              <w:t>Definition</w:t>
            </w:r>
          </w:p>
        </w:tc>
        <w:tc>
          <w:tcPr>
            <w:tcW w:w="8188" w:type="dxa"/>
          </w:tcPr>
          <w:p w14:paraId="57FC0911" w14:textId="58BC92B2" w:rsidR="00607D7F" w:rsidRPr="000D1289" w:rsidRDefault="00607D7F" w:rsidP="00DF0BD6">
            <w:pPr>
              <w:rPr>
                <w:color w:val="003639" w:themeColor="text1"/>
              </w:rPr>
            </w:pPr>
            <w:r w:rsidRPr="000D1289">
              <w:rPr>
                <w:rFonts w:eastAsia="Times New Roman"/>
                <w:color w:val="003639" w:themeColor="text1"/>
                <w:lang w:bidi="en-US"/>
              </w:rPr>
              <w:t xml:space="preserve">Intimate partner violence (IPV) perpetrated by women toward men points to a spectrum of behaviour </w:t>
            </w:r>
            <w:proofErr w:type="gramStart"/>
            <w:r w:rsidRPr="000D1289">
              <w:rPr>
                <w:rFonts w:eastAsia="Times New Roman"/>
                <w:color w:val="003639" w:themeColor="text1"/>
                <w:lang w:bidi="en-US"/>
              </w:rPr>
              <w:t>from a threat,</w:t>
            </w:r>
            <w:proofErr w:type="gramEnd"/>
            <w:r w:rsidRPr="000D1289">
              <w:rPr>
                <w:rFonts w:eastAsia="Times New Roman"/>
                <w:color w:val="003639" w:themeColor="text1"/>
                <w:lang w:bidi="en-US"/>
              </w:rPr>
              <w:t xml:space="preserve"> to a single slap or punch, to injurious physical violence, to homicide.</w:t>
            </w:r>
            <w:r w:rsidR="004C56DD">
              <w:rPr>
                <w:rFonts w:eastAsia="Times New Roman"/>
                <w:color w:val="003639" w:themeColor="text1"/>
                <w:lang w:bidi="en-US"/>
              </w:rPr>
              <w:t xml:space="preserve"> </w:t>
            </w:r>
            <w:r w:rsidRPr="000D1289">
              <w:rPr>
                <w:rFonts w:eastAsia="Times New Roman"/>
                <w:color w:val="003639" w:themeColor="text1"/>
                <w:lang w:bidi="en-US"/>
              </w:rPr>
              <w:t>This summary refers to heterosexual women and heterosexual men in violent intimate relationships.</w:t>
            </w:r>
          </w:p>
        </w:tc>
      </w:tr>
      <w:tr w:rsidR="00607D7F" w:rsidRPr="00A54CE5" w14:paraId="2DA6E46A" w14:textId="77777777" w:rsidTr="00607D7F">
        <w:trPr>
          <w:trHeight w:val="418"/>
        </w:trPr>
        <w:tc>
          <w:tcPr>
            <w:tcW w:w="1747" w:type="dxa"/>
          </w:tcPr>
          <w:p w14:paraId="19319488" w14:textId="77777777" w:rsidR="00607D7F" w:rsidRPr="00607D7F" w:rsidRDefault="00607D7F" w:rsidP="00607D7F">
            <w:pPr>
              <w:rPr>
                <w:rFonts w:eastAsia="Times New Roman"/>
                <w:b/>
                <w:szCs w:val="20"/>
                <w:lang w:eastAsia="en-AU" w:bidi="en-US"/>
              </w:rPr>
            </w:pPr>
            <w:r w:rsidRPr="00607D7F">
              <w:rPr>
                <w:rFonts w:eastAsia="Times New Roman"/>
                <w:b/>
                <w:szCs w:val="20"/>
                <w:lang w:eastAsia="en-AU" w:bidi="en-US"/>
              </w:rPr>
              <w:t>Behaviours</w:t>
            </w:r>
          </w:p>
        </w:tc>
        <w:tc>
          <w:tcPr>
            <w:tcW w:w="8188" w:type="dxa"/>
          </w:tcPr>
          <w:p w14:paraId="1E1BDAD5" w14:textId="22F02D9C" w:rsidR="00607D7F" w:rsidRPr="000D1289" w:rsidRDefault="00607D7F" w:rsidP="00DF0BD6">
            <w:pPr>
              <w:rPr>
                <w:color w:val="003639" w:themeColor="text1"/>
              </w:rPr>
            </w:pPr>
            <w:r w:rsidRPr="000D1289">
              <w:rPr>
                <w:rFonts w:eastAsia="Times New Roman"/>
                <w:color w:val="003639" w:themeColor="text1"/>
                <w:lang w:bidi="en-US"/>
              </w:rPr>
              <w:t>The main type of violence reviewed in this research summary, relates to IPV including physical, sexual and psychological abuse as well as controlling behaviours such as financial abuse.</w:t>
            </w:r>
            <w:r w:rsidR="003B4265">
              <w:rPr>
                <w:rFonts w:eastAsia="Times New Roman"/>
                <w:color w:val="003639" w:themeColor="text1"/>
                <w:lang w:bidi="en-US"/>
              </w:rPr>
              <w:t xml:space="preserve"> </w:t>
            </w:r>
            <w:r w:rsidRPr="000D1289">
              <w:rPr>
                <w:rFonts w:eastAsia="Times New Roman"/>
                <w:color w:val="003639" w:themeColor="text1"/>
                <w:lang w:bidi="en-US"/>
              </w:rPr>
              <w:t>There were also articles that studied female perpetrators of intimate partner homicide as well as coercive control and intimate terrorism</w:t>
            </w:r>
            <w:r w:rsidRPr="000D1289">
              <w:rPr>
                <w:color w:val="003639" w:themeColor="text1"/>
              </w:rPr>
              <w:t>.</w:t>
            </w:r>
          </w:p>
        </w:tc>
      </w:tr>
      <w:tr w:rsidR="00607D7F" w:rsidRPr="00A54CE5" w14:paraId="1A8E314E" w14:textId="77777777" w:rsidTr="00607D7F">
        <w:trPr>
          <w:trHeight w:val="418"/>
        </w:trPr>
        <w:tc>
          <w:tcPr>
            <w:tcW w:w="1747" w:type="dxa"/>
          </w:tcPr>
          <w:p w14:paraId="76957179" w14:textId="77777777" w:rsidR="00607D7F" w:rsidRPr="00607D7F" w:rsidRDefault="00607D7F" w:rsidP="00607D7F">
            <w:pPr>
              <w:rPr>
                <w:rFonts w:eastAsia="Times New Roman"/>
                <w:b/>
                <w:szCs w:val="20"/>
                <w:lang w:eastAsia="en-AU" w:bidi="en-US"/>
              </w:rPr>
            </w:pPr>
            <w:r w:rsidRPr="00607D7F">
              <w:rPr>
                <w:rFonts w:eastAsia="Times New Roman"/>
                <w:b/>
                <w:szCs w:val="20"/>
                <w:lang w:eastAsia="en-AU" w:bidi="en-US"/>
              </w:rPr>
              <w:t>Prevalence</w:t>
            </w:r>
          </w:p>
          <w:p w14:paraId="5E2F2D49" w14:textId="77777777" w:rsidR="00607D7F" w:rsidRPr="00607D7F" w:rsidRDefault="00607D7F" w:rsidP="00607D7F">
            <w:pPr>
              <w:rPr>
                <w:rFonts w:eastAsia="Times New Roman"/>
                <w:b/>
                <w:szCs w:val="20"/>
                <w:lang w:eastAsia="en-AU" w:bidi="en-US"/>
              </w:rPr>
            </w:pPr>
          </w:p>
          <w:p w14:paraId="52E92CCC" w14:textId="77777777" w:rsidR="00607D7F" w:rsidRPr="00607D7F" w:rsidRDefault="00607D7F" w:rsidP="00607D7F">
            <w:pPr>
              <w:rPr>
                <w:rFonts w:eastAsia="Times New Roman"/>
                <w:b/>
                <w:szCs w:val="20"/>
                <w:lang w:eastAsia="en-AU" w:bidi="en-US"/>
              </w:rPr>
            </w:pPr>
          </w:p>
        </w:tc>
        <w:tc>
          <w:tcPr>
            <w:tcW w:w="8188" w:type="dxa"/>
          </w:tcPr>
          <w:p w14:paraId="566881CC" w14:textId="52CA404F" w:rsidR="00607D7F" w:rsidRPr="000D1289" w:rsidRDefault="00607D7F" w:rsidP="00DF0BD6">
            <w:pPr>
              <w:rPr>
                <w:color w:val="003639" w:themeColor="text1"/>
              </w:rPr>
            </w:pPr>
            <w:r w:rsidRPr="000D1289">
              <w:rPr>
                <w:rFonts w:eastAsia="Times New Roman"/>
                <w:color w:val="003639" w:themeColor="text1"/>
                <w:highlight w:val="white"/>
                <w:lang w:bidi="en-US"/>
              </w:rPr>
              <w:t xml:space="preserve">The prevalence of this violence against men declines with severity, such that </w:t>
            </w:r>
            <w:proofErr w:type="gramStart"/>
            <w:r w:rsidRPr="000D1289">
              <w:rPr>
                <w:rFonts w:eastAsia="Times New Roman"/>
                <w:color w:val="003639" w:themeColor="text1"/>
                <w:highlight w:val="white"/>
                <w:lang w:bidi="en-US"/>
              </w:rPr>
              <w:t>the majority of</w:t>
            </w:r>
            <w:proofErr w:type="gramEnd"/>
            <w:r w:rsidRPr="000D1289">
              <w:rPr>
                <w:rFonts w:eastAsia="Times New Roman"/>
                <w:color w:val="003639" w:themeColor="text1"/>
                <w:highlight w:val="white"/>
                <w:lang w:bidi="en-US"/>
              </w:rPr>
              <w:t xml:space="preserve"> acts of women’s violence as measured in research are predominantly low-level and non-injurious</w:t>
            </w:r>
            <w:r>
              <w:rPr>
                <w:rFonts w:eastAsia="Times New Roman"/>
                <w:color w:val="003639" w:themeColor="text1"/>
                <w:highlight w:val="white"/>
                <w:lang w:bidi="en-US"/>
              </w:rPr>
              <w:t>.</w:t>
            </w:r>
            <w:r w:rsidRPr="00550AF9">
              <w:rPr>
                <w:noProof/>
                <w:color w:val="003639" w:themeColor="text1"/>
                <w:vertAlign w:val="superscript"/>
              </w:rPr>
              <w:t>1,2</w:t>
            </w:r>
            <w:r w:rsidRPr="000D1289">
              <w:rPr>
                <w:rFonts w:eastAsia="Times New Roman"/>
                <w:color w:val="003639" w:themeColor="text1"/>
                <w:highlight w:val="white"/>
                <w:lang w:bidi="en-US"/>
              </w:rPr>
              <w:t xml:space="preserve"> </w:t>
            </w:r>
            <w:bookmarkStart w:id="1" w:name="_Hlk125981115"/>
            <w:r w:rsidRPr="000D1289">
              <w:rPr>
                <w:rFonts w:eastAsia="Times New Roman"/>
                <w:color w:val="003639" w:themeColor="text1"/>
                <w:highlight w:val="white"/>
                <w:lang w:bidi="en-US"/>
              </w:rPr>
              <w:t>Women’s IPV against men typically occurs in the context of men’s IPV against women.</w:t>
            </w:r>
            <w:bookmarkEnd w:id="1"/>
          </w:p>
          <w:p w14:paraId="02485A56" w14:textId="77777777" w:rsidR="00607D7F" w:rsidRPr="000D1289" w:rsidRDefault="00607D7F" w:rsidP="00DF0BD6">
            <w:pPr>
              <w:rPr>
                <w:color w:val="003639" w:themeColor="text1"/>
              </w:rPr>
            </w:pPr>
          </w:p>
          <w:p w14:paraId="2CBE45F2" w14:textId="3EAD82AC" w:rsidR="00607D7F" w:rsidRPr="000D1289" w:rsidRDefault="00607D7F" w:rsidP="00DF0BD6">
            <w:pPr>
              <w:rPr>
                <w:color w:val="003639" w:themeColor="text1"/>
              </w:rPr>
            </w:pPr>
            <w:r w:rsidRPr="000D1289">
              <w:rPr>
                <w:rFonts w:eastAsia="Times New Roman"/>
                <w:color w:val="003639" w:themeColor="text1"/>
                <w:lang w:bidi="en-US"/>
              </w:rPr>
              <w:t xml:space="preserve">The study of IPV generally is fraught with a lack of consensus regarding IPV definitions and prevalence measures. Therefore, there is inconsistency in the evidence regarding the prevalence and nature of female perpetrated IPV against men. </w:t>
            </w:r>
            <w:r w:rsidRPr="000D1289">
              <w:rPr>
                <w:color w:val="003639" w:themeColor="text1"/>
                <w:highlight w:val="white"/>
                <w:lang w:bidi="en-US"/>
              </w:rPr>
              <w:t xml:space="preserve">Ambiguities in prevalence data are further compounded by gendered differences </w:t>
            </w:r>
            <w:r w:rsidRPr="000D1289">
              <w:rPr>
                <w:color w:val="003639" w:themeColor="text1"/>
                <w:lang w:bidi="en-US"/>
              </w:rPr>
              <w:t>in responses to IPV studies. Australian</w:t>
            </w:r>
            <w:r w:rsidRPr="000D1289">
              <w:rPr>
                <w:rFonts w:eastAsia="Times New Roman"/>
                <w:color w:val="003639" w:themeColor="text1"/>
                <w:lang w:bidi="en-US"/>
              </w:rPr>
              <w:t xml:space="preserve"> statistics from the 2016 Personal Safety Survey show that 7.8% of men have experienced at least one incident of abuse (including threats of abuse) by an intimate partner since the age of 15 years, with 92% of those perpetrating the abuse being female</w:t>
            </w:r>
            <w:r>
              <w:rPr>
                <w:rFonts w:eastAsia="Times New Roman"/>
                <w:color w:val="003639" w:themeColor="text1"/>
                <w:lang w:bidi="en-US"/>
              </w:rPr>
              <w:t>.</w:t>
            </w:r>
            <w:r w:rsidRPr="00550AF9">
              <w:rPr>
                <w:noProof/>
                <w:color w:val="003639" w:themeColor="text1"/>
                <w:vertAlign w:val="superscript"/>
              </w:rPr>
              <w:t>3</w:t>
            </w:r>
            <w:r w:rsidRPr="000D1289">
              <w:rPr>
                <w:rFonts w:eastAsia="Times New Roman"/>
                <w:color w:val="003639" w:themeColor="text1"/>
                <w:lang w:bidi="en-US"/>
              </w:rPr>
              <w:t xml:space="preserve"> The abuse measured is not specifically coercive control and violence and is defined as any incident that involves the occurrence, attempt or threat of either physical or sexual assault experienced by a person since the age of 15 years.  </w:t>
            </w:r>
          </w:p>
        </w:tc>
      </w:tr>
      <w:tr w:rsidR="00607D7F" w:rsidRPr="008B3272" w14:paraId="6057BFEB" w14:textId="77777777" w:rsidTr="00607D7F">
        <w:trPr>
          <w:trHeight w:val="418"/>
        </w:trPr>
        <w:tc>
          <w:tcPr>
            <w:tcW w:w="1747" w:type="dxa"/>
          </w:tcPr>
          <w:p w14:paraId="5C064664" w14:textId="77777777" w:rsidR="00607D7F" w:rsidRPr="00607D7F" w:rsidRDefault="00607D7F" w:rsidP="00607D7F">
            <w:pPr>
              <w:rPr>
                <w:rFonts w:eastAsia="Times New Roman"/>
                <w:b/>
                <w:lang w:eastAsia="en-AU" w:bidi="en-US"/>
              </w:rPr>
            </w:pPr>
            <w:r w:rsidRPr="00607D7F">
              <w:rPr>
                <w:b/>
                <w:lang w:eastAsia="en-AU"/>
              </w:rPr>
              <w:t>Victim survivor and perpetrator profile</w:t>
            </w:r>
          </w:p>
        </w:tc>
        <w:tc>
          <w:tcPr>
            <w:tcW w:w="8188" w:type="dxa"/>
          </w:tcPr>
          <w:p w14:paraId="77C747FC" w14:textId="2E43E638" w:rsidR="00607D7F" w:rsidRPr="00AD740C" w:rsidRDefault="00607D7F" w:rsidP="00DF0BD6">
            <w:pPr>
              <w:keepNext/>
              <w:spacing w:before="60" w:after="60"/>
              <w:rPr>
                <w:rFonts w:eastAsia="Times New Roman"/>
                <w:color w:val="003639" w:themeColor="text1"/>
                <w:highlight w:val="white"/>
                <w:lang w:bidi="en-US"/>
              </w:rPr>
            </w:pPr>
            <w:r w:rsidRPr="000D1289">
              <w:rPr>
                <w:rFonts w:eastAsia="Times New Roman"/>
                <w:color w:val="003639" w:themeColor="text1"/>
                <w:highlight w:val="white"/>
                <w:lang w:bidi="en-US"/>
              </w:rPr>
              <w:t>Women’s IPV against men has a range of motives, including expressing frustration or aggression, self-defence against attack, and in some cases, coercion and control</w:t>
            </w:r>
            <w:r>
              <w:rPr>
                <w:rFonts w:eastAsia="Times New Roman"/>
                <w:color w:val="003639" w:themeColor="text1"/>
                <w:highlight w:val="white"/>
                <w:lang w:bidi="en-US"/>
              </w:rPr>
              <w:t>.</w:t>
            </w:r>
            <w:r w:rsidRPr="00550AF9">
              <w:rPr>
                <w:rFonts w:eastAsia="Times New Roman"/>
                <w:noProof/>
                <w:color w:val="003639" w:themeColor="text1"/>
                <w:highlight w:val="white"/>
                <w:vertAlign w:val="superscript"/>
                <w:lang w:bidi="en-US"/>
              </w:rPr>
              <w:t>4,5</w:t>
            </w:r>
            <w:r>
              <w:rPr>
                <w:rFonts w:eastAsia="Times New Roman"/>
                <w:color w:val="003639" w:themeColor="text1"/>
                <w:highlight w:val="white"/>
                <w:lang w:bidi="en-US"/>
              </w:rPr>
              <w:t xml:space="preserve"> </w:t>
            </w:r>
            <w:r w:rsidRPr="000D1289">
              <w:rPr>
                <w:rFonts w:eastAsia="Times New Roman"/>
                <w:color w:val="003639" w:themeColor="text1"/>
                <w:highlight w:val="white"/>
                <w:lang w:bidi="en-US"/>
              </w:rPr>
              <w:t>Women’s IPV against men typically occurs in the context of men’s IPV against women. In the case of women’s injurious violence against men, research indicates that it is primarily a form of self-defence against a violent male partner</w:t>
            </w:r>
            <w:r>
              <w:rPr>
                <w:rFonts w:eastAsia="Times New Roman"/>
                <w:color w:val="003639" w:themeColor="text1"/>
                <w:highlight w:val="white"/>
                <w:lang w:bidi="en-US"/>
              </w:rPr>
              <w:t>.</w:t>
            </w:r>
            <w:r w:rsidRPr="00550AF9">
              <w:rPr>
                <w:rFonts w:eastAsia="Times New Roman"/>
                <w:noProof/>
                <w:color w:val="003639" w:themeColor="text1"/>
                <w:highlight w:val="white"/>
                <w:vertAlign w:val="superscript"/>
                <w:lang w:bidi="en-US"/>
              </w:rPr>
              <w:t>5</w:t>
            </w:r>
            <w:r w:rsidRPr="000D1289">
              <w:rPr>
                <w:rFonts w:eastAsia="Times New Roman"/>
                <w:color w:val="003639" w:themeColor="text1"/>
                <w:highlight w:val="white"/>
                <w:lang w:bidi="en-US"/>
              </w:rPr>
              <w:t xml:space="preserve"> Women’s IPV against men</w:t>
            </w:r>
            <w:r w:rsidRPr="000D1289">
              <w:rPr>
                <w:rFonts w:eastAsia="Times New Roman"/>
                <w:color w:val="003639" w:themeColor="text1"/>
                <w:lang w:bidi="en-US"/>
              </w:rPr>
              <w:t xml:space="preserve"> is described under three forms: </w:t>
            </w:r>
          </w:p>
          <w:p w14:paraId="332190B3" w14:textId="679CE67A" w:rsidR="00607D7F" w:rsidRPr="000D1289" w:rsidRDefault="00607D7F" w:rsidP="007520DE">
            <w:pPr>
              <w:pStyle w:val="ListParagraph"/>
              <w:numPr>
                <w:ilvl w:val="0"/>
                <w:numId w:val="35"/>
              </w:numPr>
              <w:rPr>
                <w:lang w:bidi="en-US"/>
              </w:rPr>
            </w:pPr>
            <w:r w:rsidRPr="00115113">
              <w:rPr>
                <w:b/>
                <w:bCs/>
                <w:lang w:bidi="en-US"/>
              </w:rPr>
              <w:t>Situational couple violence</w:t>
            </w:r>
            <w:r w:rsidRPr="000D1289">
              <w:rPr>
                <w:lang w:bidi="en-US"/>
              </w:rPr>
              <w:t xml:space="preserve"> includes verbal aggression and physical violence but does not include patterns of control and entrapment</w:t>
            </w:r>
            <w:r>
              <w:rPr>
                <w:lang w:bidi="en-US"/>
              </w:rPr>
              <w:t>.</w:t>
            </w:r>
            <w:r w:rsidRPr="00115113">
              <w:rPr>
                <w:noProof/>
                <w:vertAlign w:val="superscript"/>
                <w:lang w:bidi="en-US"/>
              </w:rPr>
              <w:t>6</w:t>
            </w:r>
            <w:r w:rsidRPr="000D1289">
              <w:rPr>
                <w:lang w:bidi="en-US"/>
              </w:rPr>
              <w:t xml:space="preserve"> This scenario is characterised by occasional incidents of violence that are less likely to be injurious, lacks a controlling or fearful dimension, and generally does not continue after separation.</w:t>
            </w:r>
          </w:p>
          <w:p w14:paraId="29B8EA23" w14:textId="77777777" w:rsidR="00607D7F" w:rsidRPr="000D1289" w:rsidRDefault="00607D7F" w:rsidP="007520DE">
            <w:pPr>
              <w:pStyle w:val="ListParagraph"/>
              <w:numPr>
                <w:ilvl w:val="0"/>
                <w:numId w:val="35"/>
              </w:numPr>
              <w:rPr>
                <w:lang w:bidi="en-US"/>
              </w:rPr>
            </w:pPr>
            <w:r w:rsidRPr="00115113">
              <w:rPr>
                <w:b/>
                <w:bCs/>
                <w:lang w:bidi="en-US"/>
              </w:rPr>
              <w:t>Intimate terrorism</w:t>
            </w:r>
            <w:r w:rsidRPr="000D1289">
              <w:rPr>
                <w:lang w:bidi="en-US"/>
              </w:rPr>
              <w:t xml:space="preserve"> is characterised by abuse and violence as part of a pattern of control, intimidation and fear.</w:t>
            </w:r>
          </w:p>
          <w:p w14:paraId="35FB02A7" w14:textId="462BD74D" w:rsidR="00607D7F" w:rsidRPr="000D1289" w:rsidRDefault="00607D7F" w:rsidP="007520DE">
            <w:pPr>
              <w:pStyle w:val="ListParagraph"/>
              <w:numPr>
                <w:ilvl w:val="0"/>
                <w:numId w:val="35"/>
              </w:numPr>
              <w:rPr>
                <w:lang w:bidi="en-US"/>
              </w:rPr>
            </w:pPr>
            <w:r w:rsidRPr="00115113">
              <w:rPr>
                <w:b/>
                <w:bCs/>
                <w:lang w:bidi="en-US"/>
              </w:rPr>
              <w:t>Violent resistance</w:t>
            </w:r>
            <w:r w:rsidRPr="000D1289">
              <w:rPr>
                <w:lang w:bidi="en-US"/>
              </w:rPr>
              <w:t xml:space="preserve"> refers to women’s self-defensive or retaliatory use of violence in the context of violence by the male partner.</w:t>
            </w:r>
            <w:r w:rsidR="00420907">
              <w:rPr>
                <w:lang w:bidi="en-US"/>
              </w:rPr>
              <w:t xml:space="preserve"> </w:t>
            </w:r>
            <w:r w:rsidRPr="000D1289">
              <w:rPr>
                <w:lang w:bidi="en-US"/>
              </w:rPr>
              <w:t>This is a common scenario in which women use violence and overlaps considerably with the scenarios described above</w:t>
            </w:r>
            <w:r>
              <w:rPr>
                <w:lang w:bidi="en-US"/>
              </w:rPr>
              <w:t>.</w:t>
            </w:r>
            <w:r w:rsidRPr="00115113">
              <w:rPr>
                <w:noProof/>
                <w:vertAlign w:val="superscript"/>
                <w:lang w:bidi="en-US"/>
              </w:rPr>
              <w:t>7</w:t>
            </w:r>
          </w:p>
          <w:p w14:paraId="79A19482" w14:textId="32315FA2" w:rsidR="00607D7F" w:rsidRPr="00AD740C" w:rsidRDefault="00607D7F" w:rsidP="00DF0BD6">
            <w:pPr>
              <w:keepNext/>
              <w:spacing w:before="60" w:after="60"/>
              <w:rPr>
                <w:rFonts w:eastAsia="Times New Roman"/>
                <w:color w:val="003639" w:themeColor="text1"/>
                <w:lang w:bidi="en-US"/>
              </w:rPr>
            </w:pPr>
            <w:r w:rsidRPr="000D1289">
              <w:rPr>
                <w:rFonts w:eastAsia="Times New Roman"/>
                <w:color w:val="003639" w:themeColor="text1"/>
                <w:lang w:bidi="en-US"/>
              </w:rPr>
              <w:lastRenderedPageBreak/>
              <w:t>Female perpetrators of IPV are frequently affected by alcohol and drugs which suggests a disinhibiting element is present</w:t>
            </w:r>
            <w:r>
              <w:rPr>
                <w:rFonts w:eastAsia="Times New Roman"/>
                <w:color w:val="003639" w:themeColor="text1"/>
                <w:lang w:bidi="en-US"/>
              </w:rPr>
              <w:t>.</w:t>
            </w:r>
            <w:r w:rsidRPr="00550AF9">
              <w:rPr>
                <w:rFonts w:eastAsia="Times New Roman"/>
                <w:noProof/>
                <w:color w:val="003639" w:themeColor="text1"/>
                <w:vertAlign w:val="superscript"/>
                <w:lang w:bidi="en-US"/>
              </w:rPr>
              <w:t>8</w:t>
            </w:r>
          </w:p>
          <w:p w14:paraId="46CB493F" w14:textId="110AE9C9" w:rsidR="00607D7F" w:rsidRPr="000D1289" w:rsidRDefault="00607D7F" w:rsidP="00DF0BD6">
            <w:pPr>
              <w:keepNext/>
              <w:spacing w:before="60" w:after="60"/>
              <w:rPr>
                <w:rFonts w:eastAsia="Times New Roman"/>
                <w:color w:val="003639" w:themeColor="text1"/>
                <w:lang w:bidi="en-US"/>
              </w:rPr>
            </w:pPr>
            <w:r w:rsidRPr="000D1289">
              <w:rPr>
                <w:rFonts w:eastAsia="Times New Roman"/>
                <w:color w:val="003639" w:themeColor="text1"/>
                <w:highlight w:val="white"/>
                <w:lang w:bidi="en-US"/>
              </w:rPr>
              <w:t>Women’s IPV against men differs significantly from women’s experience of IPV victimisation, namely that control is a comparatively unlikely motive for women’s IPV</w:t>
            </w:r>
            <w:r>
              <w:rPr>
                <w:rFonts w:eastAsia="Times New Roman"/>
                <w:color w:val="003639" w:themeColor="text1"/>
                <w:highlight w:val="white"/>
                <w:lang w:bidi="en-US"/>
              </w:rPr>
              <w:t>,</w:t>
            </w:r>
            <w:r w:rsidRPr="00550AF9">
              <w:rPr>
                <w:rFonts w:eastAsia="Times New Roman"/>
                <w:noProof/>
                <w:color w:val="003639" w:themeColor="text1"/>
                <w:highlight w:val="white"/>
                <w:vertAlign w:val="superscript"/>
                <w:lang w:bidi="en-US"/>
              </w:rPr>
              <w:t>1,6,9</w:t>
            </w:r>
            <w:r w:rsidRPr="000D1289">
              <w:rPr>
                <w:rFonts w:eastAsia="Times New Roman"/>
                <w:color w:val="003639" w:themeColor="text1"/>
                <w:highlight w:val="white"/>
                <w:lang w:bidi="en-US"/>
              </w:rPr>
              <w:t xml:space="preserve"> women rarely commit sexual IPV against men</w:t>
            </w:r>
            <w:r w:rsidRPr="00550AF9">
              <w:rPr>
                <w:rFonts w:eastAsia="Times New Roman"/>
                <w:noProof/>
                <w:color w:val="003639" w:themeColor="text1"/>
                <w:vertAlign w:val="superscript"/>
                <w:lang w:bidi="en-US"/>
              </w:rPr>
              <w:t>10</w:t>
            </w:r>
            <w:r w:rsidRPr="000D1289">
              <w:rPr>
                <w:rFonts w:eastAsia="Times New Roman"/>
                <w:color w:val="003639" w:themeColor="text1"/>
                <w:lang w:bidi="en-US"/>
              </w:rPr>
              <w:t xml:space="preserve"> </w:t>
            </w:r>
            <w:r w:rsidRPr="000D1289">
              <w:rPr>
                <w:rFonts w:eastAsia="Times New Roman"/>
                <w:color w:val="003639" w:themeColor="text1"/>
                <w:highlight w:val="white"/>
                <w:lang w:bidi="en-US"/>
              </w:rPr>
              <w:t>and seldom engage in behaviour such as strangulation, all of which are identified risk factors for domestic homicide</w:t>
            </w:r>
            <w:r>
              <w:rPr>
                <w:rFonts w:eastAsia="Times New Roman"/>
                <w:color w:val="003639" w:themeColor="text1"/>
                <w:highlight w:val="white"/>
                <w:lang w:bidi="en-US"/>
              </w:rPr>
              <w:t>.</w:t>
            </w:r>
            <w:r w:rsidRPr="00550AF9">
              <w:rPr>
                <w:rFonts w:eastAsia="Times New Roman"/>
                <w:noProof/>
                <w:color w:val="003639" w:themeColor="text1"/>
                <w:highlight w:val="white"/>
                <w:vertAlign w:val="superscript"/>
                <w:lang w:bidi="en-US"/>
              </w:rPr>
              <w:t>11</w:t>
            </w:r>
            <w:r w:rsidRPr="000D1289">
              <w:rPr>
                <w:rFonts w:eastAsia="Times New Roman"/>
                <w:color w:val="003639" w:themeColor="text1"/>
                <w:highlight w:val="white"/>
                <w:lang w:bidi="en-US"/>
              </w:rPr>
              <w:t xml:space="preserve"> </w:t>
            </w:r>
          </w:p>
          <w:p w14:paraId="7FC5BFB0" w14:textId="3578DDD5" w:rsidR="00607D7F" w:rsidRPr="000D1289" w:rsidRDefault="00607D7F" w:rsidP="00DF0BD6">
            <w:pPr>
              <w:rPr>
                <w:rFonts w:cs="Times New Roman"/>
                <w:color w:val="003639" w:themeColor="text1"/>
                <w:lang w:eastAsia="en-AU"/>
              </w:rPr>
            </w:pPr>
            <w:r w:rsidRPr="000D1289">
              <w:rPr>
                <w:color w:val="003639" w:themeColor="text1"/>
                <w:highlight w:val="white"/>
              </w:rPr>
              <w:t>In recognition of the differences between female-perpetrated and male-perpetrated IPV, some scholars have recommended the use of the term ‘women who use force’ rather than IPV in instances of female perpetration</w:t>
            </w:r>
            <w:r>
              <w:rPr>
                <w:color w:val="003639" w:themeColor="text1"/>
                <w:highlight w:val="white"/>
              </w:rPr>
              <w:t>.</w:t>
            </w:r>
            <w:r w:rsidRPr="00550AF9">
              <w:rPr>
                <w:noProof/>
                <w:color w:val="003639" w:themeColor="text1"/>
                <w:highlight w:val="white"/>
                <w:vertAlign w:val="superscript"/>
              </w:rPr>
              <w:t>12,13</w:t>
            </w:r>
            <w:r w:rsidRPr="000D1289">
              <w:rPr>
                <w:color w:val="003639" w:themeColor="text1"/>
                <w:highlight w:val="white"/>
              </w:rPr>
              <w:t xml:space="preserve"> </w:t>
            </w:r>
            <w:r w:rsidRPr="000D1289">
              <w:rPr>
                <w:color w:val="003639" w:themeColor="text1"/>
              </w:rPr>
              <w:t>They emphasise that women’s use of physical violence in relationships often represents an effort to take temporary control of erratic and abusive behaviour by male partners.</w:t>
            </w:r>
            <w:r w:rsidR="00C86E51">
              <w:rPr>
                <w:color w:val="003639" w:themeColor="text1"/>
              </w:rPr>
              <w:t xml:space="preserve"> </w:t>
            </w:r>
            <w:r w:rsidRPr="000D1289">
              <w:rPr>
                <w:rFonts w:eastAsia="Arial"/>
                <w:color w:val="003639" w:themeColor="text1"/>
                <w:lang w:val="en-GB"/>
              </w:rPr>
              <w:t>Women are therefore using force to assert personal autonomy</w:t>
            </w:r>
            <w:r w:rsidRPr="000D1289">
              <w:rPr>
                <w:color w:val="003639" w:themeColor="text1"/>
              </w:rPr>
              <w:t xml:space="preserve"> </w:t>
            </w:r>
            <w:r w:rsidRPr="000D1289">
              <w:rPr>
                <w:rFonts w:eastAsia="Arial"/>
                <w:color w:val="003639" w:themeColor="text1"/>
                <w:lang w:val="en-GB"/>
              </w:rPr>
              <w:t xml:space="preserve">rather than </w:t>
            </w:r>
            <w:r w:rsidRPr="000D1289">
              <w:rPr>
                <w:color w:val="003639" w:themeColor="text1"/>
              </w:rPr>
              <w:t xml:space="preserve">using violence to </w:t>
            </w:r>
            <w:r w:rsidRPr="000D1289">
              <w:rPr>
                <w:rFonts w:eastAsia="Arial"/>
                <w:color w:val="003639" w:themeColor="text1"/>
                <w:lang w:val="en-GB"/>
              </w:rPr>
              <w:t>exerci</w:t>
            </w:r>
            <w:r w:rsidR="00736BA8">
              <w:rPr>
                <w:rFonts w:eastAsia="Arial"/>
                <w:color w:val="003639" w:themeColor="text1"/>
                <w:lang w:val="en-GB"/>
              </w:rPr>
              <w:t>se</w:t>
            </w:r>
            <w:r w:rsidRPr="000D1289">
              <w:rPr>
                <w:rFonts w:eastAsia="Arial"/>
                <w:color w:val="003639" w:themeColor="text1"/>
                <w:lang w:val="en-GB"/>
              </w:rPr>
              <w:t xml:space="preserve"> authority </w:t>
            </w:r>
            <w:r w:rsidRPr="000D1289">
              <w:rPr>
                <w:color w:val="003639" w:themeColor="text1"/>
              </w:rPr>
              <w:t>and power</w:t>
            </w:r>
            <w:r w:rsidRPr="000D1289">
              <w:rPr>
                <w:rFonts w:eastAsia="Arial"/>
                <w:color w:val="003639" w:themeColor="text1"/>
                <w:lang w:val="en-GB"/>
              </w:rPr>
              <w:t>.</w:t>
            </w:r>
            <w:r w:rsidR="00736BA8">
              <w:rPr>
                <w:rFonts w:eastAsia="Arial"/>
                <w:color w:val="003639" w:themeColor="text1"/>
                <w:lang w:val="en-GB"/>
              </w:rPr>
              <w:t xml:space="preserve"> </w:t>
            </w:r>
            <w:r w:rsidRPr="000D1289">
              <w:rPr>
                <w:rFonts w:eastAsia="Arial"/>
                <w:color w:val="003639" w:themeColor="text1"/>
                <w:lang w:val="en-GB"/>
              </w:rPr>
              <w:t>This</w:t>
            </w:r>
            <w:r w:rsidRPr="000D1289">
              <w:rPr>
                <w:color w:val="003639" w:themeColor="text1"/>
              </w:rPr>
              <w:t xml:space="preserve"> distinction between force and violence recognises the important gendered differences in the contexts, patterns, motivates and impacts of IPV</w:t>
            </w:r>
            <w:r>
              <w:rPr>
                <w:color w:val="003639" w:themeColor="text1"/>
              </w:rPr>
              <w:t>.</w:t>
            </w:r>
            <w:r w:rsidRPr="00550AF9">
              <w:rPr>
                <w:noProof/>
                <w:color w:val="003639" w:themeColor="text1"/>
                <w:vertAlign w:val="superscript"/>
              </w:rPr>
              <w:t>14</w:t>
            </w:r>
          </w:p>
        </w:tc>
      </w:tr>
      <w:tr w:rsidR="00607D7F" w:rsidRPr="00A54CE5" w14:paraId="20D8CB3D" w14:textId="77777777" w:rsidTr="00607D7F">
        <w:trPr>
          <w:trHeight w:val="418"/>
        </w:trPr>
        <w:tc>
          <w:tcPr>
            <w:tcW w:w="1747" w:type="dxa"/>
          </w:tcPr>
          <w:p w14:paraId="216A7350" w14:textId="77777777" w:rsidR="00607D7F" w:rsidRPr="00607D7F" w:rsidDel="00411DDA" w:rsidRDefault="00607D7F" w:rsidP="00607D7F">
            <w:pPr>
              <w:rPr>
                <w:rFonts w:eastAsia="Times New Roman"/>
                <w:b/>
                <w:szCs w:val="20"/>
                <w:lang w:eastAsia="en-AU" w:bidi="en-US"/>
              </w:rPr>
            </w:pPr>
            <w:r w:rsidRPr="00607D7F">
              <w:rPr>
                <w:rFonts w:eastAsia="Times New Roman"/>
                <w:b/>
                <w:szCs w:val="20"/>
                <w:lang w:eastAsia="en-AU" w:bidi="en-US"/>
              </w:rPr>
              <w:lastRenderedPageBreak/>
              <w:t>Researchers’ indication of factors associated with violence</w:t>
            </w:r>
          </w:p>
        </w:tc>
        <w:tc>
          <w:tcPr>
            <w:tcW w:w="8188" w:type="dxa"/>
          </w:tcPr>
          <w:p w14:paraId="0BD68ED8" w14:textId="77777777" w:rsidR="00607D7F" w:rsidRPr="000D1289" w:rsidRDefault="00607D7F" w:rsidP="00C6324C">
            <w:pPr>
              <w:rPr>
                <w:bCs/>
                <w:highlight w:val="white"/>
                <w:lang w:bidi="en-US"/>
              </w:rPr>
            </w:pPr>
            <w:r w:rsidRPr="000D1289">
              <w:rPr>
                <w:highlight w:val="white"/>
                <w:lang w:bidi="en-US"/>
              </w:rPr>
              <w:t xml:space="preserve">The most commonly found factor for a male being a victim of </w:t>
            </w:r>
            <w:proofErr w:type="gramStart"/>
            <w:r w:rsidRPr="000D1289">
              <w:rPr>
                <w:highlight w:val="white"/>
                <w:lang w:bidi="en-US"/>
              </w:rPr>
              <w:t>female-perpetrated</w:t>
            </w:r>
            <w:proofErr w:type="gramEnd"/>
            <w:r w:rsidRPr="000D1289">
              <w:rPr>
                <w:highlight w:val="white"/>
                <w:lang w:bidi="en-US"/>
              </w:rPr>
              <w:t xml:space="preserve"> IPV is being a perpetrator of IPV. This was found in most studies that examined male victimisation, including domestic homicides.</w:t>
            </w:r>
          </w:p>
          <w:p w14:paraId="4132B296" w14:textId="77777777" w:rsidR="00607D7F" w:rsidRPr="000D1289" w:rsidRDefault="00607D7F" w:rsidP="00DF0BD6">
            <w:pPr>
              <w:tabs>
                <w:tab w:val="left" w:pos="851"/>
              </w:tabs>
              <w:autoSpaceDE w:val="0"/>
              <w:autoSpaceDN w:val="0"/>
              <w:adjustRightInd w:val="0"/>
              <w:jc w:val="both"/>
              <w:rPr>
                <w:rFonts w:eastAsia="Times New Roman"/>
                <w:b/>
                <w:color w:val="003639" w:themeColor="text1"/>
                <w:highlight w:val="white"/>
                <w:lang w:bidi="en-US"/>
              </w:rPr>
            </w:pPr>
          </w:p>
          <w:p w14:paraId="50F9EE39" w14:textId="77777777" w:rsidR="00607D7F" w:rsidRPr="005E5734" w:rsidRDefault="00607D7F" w:rsidP="005E5734">
            <w:pPr>
              <w:rPr>
                <w:b/>
                <w:bCs/>
                <w:highlight w:val="white"/>
                <w:lang w:bidi="en-US"/>
              </w:rPr>
            </w:pPr>
            <w:r w:rsidRPr="005E5734">
              <w:rPr>
                <w:b/>
                <w:bCs/>
                <w:highlight w:val="white"/>
                <w:lang w:bidi="en-US"/>
              </w:rPr>
              <w:t xml:space="preserve">Other factors relating to being a male victim of </w:t>
            </w:r>
            <w:proofErr w:type="gramStart"/>
            <w:r w:rsidRPr="005E5734">
              <w:rPr>
                <w:b/>
                <w:bCs/>
                <w:highlight w:val="white"/>
                <w:lang w:bidi="en-US"/>
              </w:rPr>
              <w:t>female-perpetrated</w:t>
            </w:r>
            <w:proofErr w:type="gramEnd"/>
            <w:r w:rsidRPr="005E5734">
              <w:rPr>
                <w:b/>
                <w:bCs/>
                <w:highlight w:val="white"/>
                <w:lang w:bidi="en-US"/>
              </w:rPr>
              <w:t xml:space="preserve"> IPV include:</w:t>
            </w:r>
          </w:p>
          <w:p w14:paraId="1F34D05C" w14:textId="17C5507E" w:rsidR="00607D7F" w:rsidRPr="005E5734" w:rsidRDefault="006814AF" w:rsidP="007520DE">
            <w:pPr>
              <w:pStyle w:val="ListParagraph"/>
              <w:numPr>
                <w:ilvl w:val="0"/>
                <w:numId w:val="36"/>
              </w:numPr>
              <w:rPr>
                <w:highlight w:val="white"/>
              </w:rPr>
            </w:pPr>
            <w:r>
              <w:rPr>
                <w:highlight w:val="white"/>
              </w:rPr>
              <w:t>h</w:t>
            </w:r>
            <w:r w:rsidR="00607D7F" w:rsidRPr="005E5734">
              <w:rPr>
                <w:highlight w:val="white"/>
              </w:rPr>
              <w:t>igh rates of alcohol and drug use</w:t>
            </w:r>
            <w:r w:rsidR="00607D7F" w:rsidRPr="005E5734">
              <w:rPr>
                <w:noProof/>
                <w:highlight w:val="white"/>
                <w:vertAlign w:val="superscript"/>
              </w:rPr>
              <w:t>8</w:t>
            </w:r>
          </w:p>
          <w:p w14:paraId="482A101F" w14:textId="2A84271D" w:rsidR="00607D7F" w:rsidRPr="005E5734" w:rsidRDefault="006814AF" w:rsidP="007520DE">
            <w:pPr>
              <w:pStyle w:val="ListParagraph"/>
              <w:numPr>
                <w:ilvl w:val="0"/>
                <w:numId w:val="36"/>
              </w:numPr>
              <w:rPr>
                <w:highlight w:val="white"/>
              </w:rPr>
            </w:pPr>
            <w:r>
              <w:rPr>
                <w:highlight w:val="white"/>
              </w:rPr>
              <w:t>b</w:t>
            </w:r>
            <w:r w:rsidR="00607D7F" w:rsidRPr="005E5734">
              <w:rPr>
                <w:highlight w:val="white"/>
              </w:rPr>
              <w:t>eing exposed to and experiencing PV as a child</w:t>
            </w:r>
          </w:p>
          <w:p w14:paraId="10B93FAB" w14:textId="0903812C" w:rsidR="00607D7F" w:rsidRPr="005E5734" w:rsidRDefault="006814AF" w:rsidP="007520DE">
            <w:pPr>
              <w:pStyle w:val="ListParagraph"/>
              <w:numPr>
                <w:ilvl w:val="0"/>
                <w:numId w:val="36"/>
              </w:numPr>
              <w:rPr>
                <w:highlight w:val="white"/>
              </w:rPr>
            </w:pPr>
            <w:r>
              <w:rPr>
                <w:highlight w:val="white"/>
              </w:rPr>
              <w:t>h</w:t>
            </w:r>
            <w:r w:rsidR="00607D7F" w:rsidRPr="005E5734">
              <w:rPr>
                <w:highlight w:val="white"/>
              </w:rPr>
              <w:t>aving a history of child abuse, including physical and sexual abuse</w:t>
            </w:r>
            <w:r w:rsidR="005E5734">
              <w:rPr>
                <w:highlight w:val="white"/>
              </w:rPr>
              <w:t>.</w:t>
            </w:r>
          </w:p>
          <w:p w14:paraId="2DCC44C2" w14:textId="77777777" w:rsidR="00607D7F" w:rsidRPr="000D1289" w:rsidRDefault="00607D7F" w:rsidP="00DF0BD6">
            <w:pPr>
              <w:pStyle w:val="ListParagraph"/>
              <w:tabs>
                <w:tab w:val="left" w:pos="851"/>
              </w:tabs>
              <w:autoSpaceDE w:val="0"/>
              <w:autoSpaceDN w:val="0"/>
              <w:adjustRightInd w:val="0"/>
              <w:jc w:val="both"/>
              <w:rPr>
                <w:color w:val="003639" w:themeColor="text1"/>
                <w:highlight w:val="white"/>
              </w:rPr>
            </w:pPr>
          </w:p>
          <w:p w14:paraId="34DE7719" w14:textId="77777777" w:rsidR="00CA7590" w:rsidRDefault="00607D7F" w:rsidP="00DF0BD6">
            <w:pPr>
              <w:rPr>
                <w:b/>
                <w:bCs/>
                <w:highlight w:val="white"/>
              </w:rPr>
            </w:pPr>
            <w:r w:rsidRPr="00CA7590">
              <w:rPr>
                <w:b/>
                <w:bCs/>
                <w:highlight w:val="white"/>
              </w:rPr>
              <w:t>Other factors noted as risks relating to being a male victim survivor include:</w:t>
            </w:r>
          </w:p>
          <w:p w14:paraId="55B2728C" w14:textId="77777777" w:rsidR="00C15C57" w:rsidRDefault="00607D7F" w:rsidP="007520DE">
            <w:pPr>
              <w:pStyle w:val="ListParagraph"/>
              <w:numPr>
                <w:ilvl w:val="0"/>
                <w:numId w:val="37"/>
              </w:numPr>
              <w:rPr>
                <w:rFonts w:eastAsia="Times New Roman"/>
                <w:bCs/>
                <w:color w:val="003639" w:themeColor="text1"/>
                <w:highlight w:val="white"/>
                <w:lang w:bidi="en-US"/>
              </w:rPr>
            </w:pPr>
            <w:r w:rsidRPr="00CA7590">
              <w:rPr>
                <w:rFonts w:eastAsia="Times New Roman"/>
                <w:bCs/>
                <w:color w:val="003639" w:themeColor="text1"/>
                <w:highlight w:val="white"/>
                <w:lang w:bidi="en-US"/>
              </w:rPr>
              <w:t>being aged between 18 to 44 (or younger)</w:t>
            </w:r>
          </w:p>
          <w:p w14:paraId="010CF9FC" w14:textId="25A0689E" w:rsidR="00CA7590" w:rsidRPr="00CA7590" w:rsidRDefault="00607D7F" w:rsidP="007520DE">
            <w:pPr>
              <w:pStyle w:val="ListParagraph"/>
              <w:numPr>
                <w:ilvl w:val="0"/>
                <w:numId w:val="37"/>
              </w:numPr>
              <w:rPr>
                <w:rFonts w:eastAsia="Times New Roman"/>
                <w:bCs/>
                <w:color w:val="003639" w:themeColor="text1"/>
                <w:highlight w:val="white"/>
                <w:lang w:bidi="en-US"/>
              </w:rPr>
            </w:pPr>
            <w:r w:rsidRPr="00CA7590">
              <w:rPr>
                <w:rFonts w:eastAsia="Times New Roman"/>
                <w:bCs/>
                <w:color w:val="003639" w:themeColor="text1"/>
                <w:highlight w:val="white"/>
                <w:lang w:bidi="en-US"/>
              </w:rPr>
              <w:t>having high educational attainment</w:t>
            </w:r>
            <w:r w:rsidRPr="00CA7590">
              <w:rPr>
                <w:rFonts w:eastAsia="Times New Roman"/>
                <w:bCs/>
                <w:noProof/>
                <w:color w:val="003639" w:themeColor="text1"/>
                <w:highlight w:val="white"/>
                <w:vertAlign w:val="superscript"/>
                <w:lang w:bidi="en-US"/>
              </w:rPr>
              <w:t>1</w:t>
            </w:r>
          </w:p>
          <w:p w14:paraId="1076A4D1" w14:textId="29B98FEA" w:rsidR="00607D7F" w:rsidRPr="00CA7590" w:rsidRDefault="00607D7F" w:rsidP="007520DE">
            <w:pPr>
              <w:pStyle w:val="ListParagraph"/>
              <w:numPr>
                <w:ilvl w:val="0"/>
                <w:numId w:val="37"/>
              </w:numPr>
              <w:rPr>
                <w:rFonts w:eastAsia="Times New Roman"/>
                <w:bCs/>
                <w:color w:val="003639" w:themeColor="text1"/>
                <w:highlight w:val="white"/>
                <w:lang w:bidi="en-US"/>
              </w:rPr>
            </w:pPr>
            <w:r w:rsidRPr="00CA7590">
              <w:rPr>
                <w:rFonts w:eastAsia="Times New Roman"/>
                <w:bCs/>
                <w:color w:val="003639" w:themeColor="text1"/>
                <w:highlight w:val="white"/>
                <w:lang w:bidi="en-US"/>
              </w:rPr>
              <w:t>being from lower socio-economic groups and having a disability.</w:t>
            </w:r>
            <w:r w:rsidRPr="00CA7590">
              <w:rPr>
                <w:rFonts w:eastAsia="Times New Roman"/>
                <w:bCs/>
                <w:noProof/>
                <w:color w:val="003639" w:themeColor="text1"/>
                <w:highlight w:val="white"/>
                <w:vertAlign w:val="superscript"/>
                <w:lang w:bidi="en-US"/>
              </w:rPr>
              <w:t>15</w:t>
            </w:r>
          </w:p>
          <w:p w14:paraId="329D8D57" w14:textId="77777777" w:rsidR="00607D7F" w:rsidRPr="000D1289" w:rsidRDefault="00607D7F" w:rsidP="00DF0BD6">
            <w:pPr>
              <w:rPr>
                <w:rFonts w:eastAsia="Times New Roman"/>
                <w:color w:val="003639" w:themeColor="text1"/>
                <w:highlight w:val="white"/>
                <w:lang w:bidi="en-US"/>
              </w:rPr>
            </w:pPr>
          </w:p>
          <w:p w14:paraId="61440AE9" w14:textId="77777777" w:rsidR="00607D7F" w:rsidRPr="00BE6C2C" w:rsidRDefault="00607D7F" w:rsidP="00BE6C2C">
            <w:pPr>
              <w:rPr>
                <w:b/>
                <w:bCs/>
                <w:highlight w:val="white"/>
                <w:lang w:bidi="en-US"/>
              </w:rPr>
            </w:pPr>
            <w:bookmarkStart w:id="2" w:name="_Hlk125984883"/>
            <w:r w:rsidRPr="00BE6C2C">
              <w:rPr>
                <w:b/>
                <w:bCs/>
                <w:highlight w:val="white"/>
                <w:lang w:bidi="en-US"/>
              </w:rPr>
              <w:t>Factors relating to female perpetration of IPV against males include:</w:t>
            </w:r>
          </w:p>
          <w:p w14:paraId="0A63715A" w14:textId="02BC7848" w:rsidR="00607D7F" w:rsidRPr="00BE6C2C" w:rsidRDefault="00BE6C2C" w:rsidP="007520DE">
            <w:pPr>
              <w:pStyle w:val="ListParagraph"/>
              <w:numPr>
                <w:ilvl w:val="0"/>
                <w:numId w:val="38"/>
              </w:numPr>
              <w:rPr>
                <w:highlight w:val="white"/>
                <w:lang w:bidi="en-US"/>
              </w:rPr>
            </w:pPr>
            <w:r>
              <w:rPr>
                <w:highlight w:val="white"/>
                <w:lang w:bidi="en-US"/>
              </w:rPr>
              <w:t>b</w:t>
            </w:r>
            <w:r w:rsidR="00607D7F" w:rsidRPr="00BE6C2C">
              <w:rPr>
                <w:highlight w:val="white"/>
                <w:lang w:bidi="en-US"/>
              </w:rPr>
              <w:t>eing subjected to child sexual and physical abuse</w:t>
            </w:r>
          </w:p>
          <w:bookmarkEnd w:id="2"/>
          <w:p w14:paraId="240041F8" w14:textId="60336F17" w:rsidR="00607D7F" w:rsidRPr="00BE6C2C" w:rsidRDefault="00BE6C2C" w:rsidP="007520DE">
            <w:pPr>
              <w:pStyle w:val="ListParagraph"/>
              <w:numPr>
                <w:ilvl w:val="0"/>
                <w:numId w:val="38"/>
              </w:numPr>
              <w:rPr>
                <w:highlight w:val="white"/>
                <w:lang w:bidi="en-US"/>
              </w:rPr>
            </w:pPr>
            <w:r>
              <w:rPr>
                <w:highlight w:val="white"/>
                <w:lang w:bidi="en-US"/>
              </w:rPr>
              <w:t>b</w:t>
            </w:r>
            <w:r w:rsidR="00607D7F" w:rsidRPr="00BE6C2C">
              <w:rPr>
                <w:highlight w:val="white"/>
                <w:lang w:bidi="en-US"/>
              </w:rPr>
              <w:t>eing exposed to and experiencing IPV as a child</w:t>
            </w:r>
            <w:r>
              <w:rPr>
                <w:highlight w:val="white"/>
                <w:lang w:bidi="en-US"/>
              </w:rPr>
              <w:t>.</w:t>
            </w:r>
          </w:p>
          <w:p w14:paraId="38EF8A61" w14:textId="77777777" w:rsidR="00607D7F" w:rsidRPr="000D1289" w:rsidRDefault="00607D7F" w:rsidP="00DF0BD6">
            <w:pPr>
              <w:rPr>
                <w:rFonts w:eastAsia="Times New Roman"/>
                <w:b/>
                <w:color w:val="003639" w:themeColor="text1"/>
                <w:highlight w:val="white"/>
                <w:lang w:bidi="en-US"/>
              </w:rPr>
            </w:pPr>
          </w:p>
          <w:p w14:paraId="0850DA71" w14:textId="33D52579" w:rsidR="00607D7F" w:rsidRPr="00BB71D0" w:rsidDel="00411DDA" w:rsidRDefault="00607D7F" w:rsidP="00DF0BD6">
            <w:pPr>
              <w:rPr>
                <w:bCs/>
                <w:highlight w:val="white"/>
                <w:lang w:bidi="en-US"/>
              </w:rPr>
            </w:pPr>
            <w:r w:rsidRPr="00BB71D0">
              <w:rPr>
                <w:b/>
                <w:bCs/>
                <w:highlight w:val="white"/>
                <w:lang w:bidi="en-US"/>
              </w:rPr>
              <w:t>Other factors noted as risks relating to female perpetration</w:t>
            </w:r>
            <w:r w:rsidRPr="000D1289">
              <w:rPr>
                <w:highlight w:val="white"/>
                <w:lang w:bidi="en-US"/>
              </w:rPr>
              <w:t xml:space="preserve"> include</w:t>
            </w:r>
            <w:r w:rsidRPr="000D1289">
              <w:rPr>
                <w:bCs/>
                <w:highlight w:val="white"/>
                <w:lang w:bidi="en-US"/>
              </w:rPr>
              <w:t xml:space="preserve"> housing and employment instability</w:t>
            </w:r>
            <w:r>
              <w:rPr>
                <w:bCs/>
                <w:highlight w:val="white"/>
                <w:lang w:bidi="en-US"/>
              </w:rPr>
              <w:t>.</w:t>
            </w:r>
            <w:r w:rsidRPr="00550AF9">
              <w:rPr>
                <w:bCs/>
                <w:noProof/>
                <w:highlight w:val="white"/>
                <w:vertAlign w:val="superscript"/>
                <w:lang w:bidi="en-US"/>
              </w:rPr>
              <w:t>16</w:t>
            </w:r>
          </w:p>
        </w:tc>
      </w:tr>
    </w:tbl>
    <w:p w14:paraId="72779B73" w14:textId="77777777" w:rsidR="00607D7F" w:rsidRDefault="00607D7F" w:rsidP="00CE2F77">
      <w:pPr>
        <w:pStyle w:val="Heading2"/>
      </w:pPr>
    </w:p>
    <w:p w14:paraId="5B24C012" w14:textId="77777777" w:rsidR="00096082" w:rsidRDefault="00096082" w:rsidP="00CE2F77">
      <w:pPr>
        <w:pStyle w:val="Heading2"/>
      </w:pPr>
    </w:p>
    <w:p w14:paraId="47273A30" w14:textId="4DFC6B0F" w:rsidR="00BC10E6" w:rsidRDefault="004144B4" w:rsidP="00687CBD">
      <w:pPr>
        <w:pStyle w:val="Heading2"/>
      </w:pPr>
      <w:r w:rsidRPr="000B4296">
        <w:lastRenderedPageBreak/>
        <w:t>References</w:t>
      </w:r>
    </w:p>
    <w:p w14:paraId="4BB10E5A" w14:textId="5F74385D" w:rsidR="00687CBD" w:rsidRPr="00FB5960" w:rsidRDefault="00687CBD" w:rsidP="007520DE">
      <w:pPr>
        <w:pStyle w:val="ListParagraph"/>
        <w:numPr>
          <w:ilvl w:val="0"/>
          <w:numId w:val="39"/>
        </w:numPr>
        <w:rPr>
          <w:noProof/>
          <w:color w:val="003639" w:themeColor="text1"/>
        </w:rPr>
      </w:pPr>
      <w:r w:rsidRPr="00FB5960">
        <w:rPr>
          <w:noProof/>
          <w:color w:val="003639" w:themeColor="text1"/>
        </w:rPr>
        <w:t>Hester M, Jones C, Williamson E, Fahmy E, Feder G. Is it coercive controlling violence? A cross-sectional domestic violence and abuse survey of men attending general practice in England. Psychology of Violence. 2017;7:417-27.</w:t>
      </w:r>
    </w:p>
    <w:p w14:paraId="628069E9" w14:textId="4D03364D" w:rsidR="00687CBD" w:rsidRPr="00FB5960" w:rsidRDefault="00687CBD" w:rsidP="007520DE">
      <w:pPr>
        <w:pStyle w:val="ListParagraph"/>
        <w:numPr>
          <w:ilvl w:val="0"/>
          <w:numId w:val="39"/>
        </w:numPr>
        <w:rPr>
          <w:noProof/>
          <w:color w:val="003639" w:themeColor="text1"/>
        </w:rPr>
      </w:pPr>
      <w:r w:rsidRPr="00FB5960">
        <w:rPr>
          <w:noProof/>
          <w:color w:val="003639" w:themeColor="text1"/>
        </w:rPr>
        <w:t>Holmes SC, Johnson NL, Rojas-Ashe EE, Ceroni TL, Fedele KM, Johnson DM. Prevalence and Predictors of Bidirectional Violence in Survivors of Intimate Partner Violence Residing at Shelters. J Interpers Violence. 2019;34(16):3492-515.</w:t>
      </w:r>
    </w:p>
    <w:p w14:paraId="736BF9F7" w14:textId="7F01FE72" w:rsidR="00687CBD" w:rsidRPr="00FB5960" w:rsidRDefault="00687CBD" w:rsidP="007520DE">
      <w:pPr>
        <w:pStyle w:val="ListParagraph"/>
        <w:numPr>
          <w:ilvl w:val="0"/>
          <w:numId w:val="39"/>
        </w:numPr>
        <w:rPr>
          <w:noProof/>
          <w:color w:val="003639" w:themeColor="text1"/>
        </w:rPr>
      </w:pPr>
      <w:r w:rsidRPr="00FB5960">
        <w:rPr>
          <w:noProof/>
          <w:color w:val="003639" w:themeColor="text1"/>
        </w:rPr>
        <w:t xml:space="preserve">Australian Bureau of Statistics. Personal Safety, Australia, 20162017. </w:t>
      </w:r>
      <w:r w:rsidR="008A24FA" w:rsidRPr="00FB5960">
        <w:rPr>
          <w:noProof/>
          <w:color w:val="003639" w:themeColor="text1"/>
        </w:rPr>
        <w:t>[</w:t>
      </w:r>
      <w:r w:rsidRPr="00FB5960">
        <w:rPr>
          <w:noProof/>
          <w:color w:val="003639" w:themeColor="text1"/>
        </w:rPr>
        <w:t xml:space="preserve">Available from: </w:t>
      </w:r>
      <w:hyperlink r:id="rId15" w:history="1">
        <w:r w:rsidR="008A24FA" w:rsidRPr="00FB5960">
          <w:rPr>
            <w:rStyle w:val="Hyperlink"/>
            <w:rFonts w:ascii="Arial" w:hAnsi="Arial"/>
            <w:color w:val="003639" w:themeColor="text1"/>
          </w:rPr>
          <w:t>https://www.abs.gov.au/statistics/people/crime-and-justice/personal-safety-australia/latest-release</w:t>
        </w:r>
      </w:hyperlink>
      <w:r w:rsidR="008A24FA" w:rsidRPr="00FB5960">
        <w:rPr>
          <w:color w:val="003639" w:themeColor="text1"/>
          <w:u w:color="FF4900"/>
        </w:rPr>
        <w:t>]</w:t>
      </w:r>
      <w:r w:rsidRPr="00FB5960">
        <w:rPr>
          <w:noProof/>
          <w:color w:val="003639" w:themeColor="text1"/>
        </w:rPr>
        <w:t>.</w:t>
      </w:r>
    </w:p>
    <w:p w14:paraId="10616F45" w14:textId="77F8808A" w:rsidR="00687CBD" w:rsidRPr="00FB5960" w:rsidRDefault="00687CBD" w:rsidP="007520DE">
      <w:pPr>
        <w:pStyle w:val="ListParagraph"/>
        <w:numPr>
          <w:ilvl w:val="0"/>
          <w:numId w:val="39"/>
        </w:numPr>
        <w:rPr>
          <w:noProof/>
          <w:color w:val="003639" w:themeColor="text1"/>
        </w:rPr>
      </w:pPr>
      <w:r w:rsidRPr="00FB5960">
        <w:rPr>
          <w:noProof/>
          <w:color w:val="003639" w:themeColor="text1"/>
        </w:rPr>
        <w:t>Birkley EL, Eckhardt CI. Anger, hostility, internalizing negative emotions, and intimate partner violence perpetration: A meta-analytic review. Clin Psychol Rev. 2015;37:40-56.</w:t>
      </w:r>
    </w:p>
    <w:p w14:paraId="04F66B2F" w14:textId="6274D7E0" w:rsidR="00687CBD" w:rsidRPr="00FB5960" w:rsidRDefault="00687CBD" w:rsidP="007520DE">
      <w:pPr>
        <w:pStyle w:val="ListParagraph"/>
        <w:numPr>
          <w:ilvl w:val="0"/>
          <w:numId w:val="39"/>
        </w:numPr>
        <w:rPr>
          <w:noProof/>
          <w:color w:val="003639" w:themeColor="text1"/>
        </w:rPr>
      </w:pPr>
      <w:r w:rsidRPr="00FB5960">
        <w:rPr>
          <w:noProof/>
          <w:color w:val="003639" w:themeColor="text1"/>
        </w:rPr>
        <w:t>Bowen E, Mackay J. Towards evidence-based treatment of female perpetrated intimate partner violence and abuse. 1 ed: Routledge; 2019. p. 123-38.</w:t>
      </w:r>
    </w:p>
    <w:p w14:paraId="7C7A97A1" w14:textId="044A8D63" w:rsidR="00687CBD" w:rsidRPr="00FB5960" w:rsidRDefault="00687CBD" w:rsidP="007520DE">
      <w:pPr>
        <w:pStyle w:val="ListParagraph"/>
        <w:numPr>
          <w:ilvl w:val="0"/>
          <w:numId w:val="39"/>
        </w:numPr>
        <w:rPr>
          <w:noProof/>
          <w:color w:val="003639" w:themeColor="text1"/>
        </w:rPr>
      </w:pPr>
      <w:r w:rsidRPr="00FB5960">
        <w:rPr>
          <w:noProof/>
          <w:color w:val="003639" w:themeColor="text1"/>
        </w:rPr>
        <w:t>Johnson MP, Leone JM, Xu Y. Intimate terrorism and situational couple violence in general surveys: ex-spouses required. Violence Against Women. 2014;20(2):186-207.</w:t>
      </w:r>
    </w:p>
    <w:p w14:paraId="0617E61D" w14:textId="00F5C538" w:rsidR="00687CBD" w:rsidRPr="00FB5960" w:rsidRDefault="00687CBD" w:rsidP="007520DE">
      <w:pPr>
        <w:pStyle w:val="ListParagraph"/>
        <w:numPr>
          <w:ilvl w:val="0"/>
          <w:numId w:val="39"/>
        </w:numPr>
        <w:rPr>
          <w:noProof/>
          <w:color w:val="003639" w:themeColor="text1"/>
        </w:rPr>
      </w:pPr>
      <w:r w:rsidRPr="00FB5960">
        <w:rPr>
          <w:noProof/>
          <w:color w:val="003639" w:themeColor="text1"/>
        </w:rPr>
        <w:t>Boxall H, Dowling C, Morgan A. Female perpetrated domestic violence: Prevalence of self-defensive and retaliatory violence. Canberra: Australian Institute of Criminology; 2020.</w:t>
      </w:r>
    </w:p>
    <w:p w14:paraId="5DE3AC4B" w14:textId="63DC351F" w:rsidR="00687CBD" w:rsidRPr="00FB5960" w:rsidRDefault="00687CBD" w:rsidP="007520DE">
      <w:pPr>
        <w:pStyle w:val="ListParagraph"/>
        <w:numPr>
          <w:ilvl w:val="0"/>
          <w:numId w:val="39"/>
        </w:numPr>
        <w:rPr>
          <w:noProof/>
          <w:color w:val="003639" w:themeColor="text1"/>
        </w:rPr>
      </w:pPr>
      <w:r w:rsidRPr="00FB5960">
        <w:rPr>
          <w:noProof/>
          <w:color w:val="003639" w:themeColor="text1"/>
        </w:rPr>
        <w:t>Belknap J, Larson D-L, Abrams ML, Garcia C, Anderson-Block K. Types of Intimate Partner Homicides Committed by Women: Self-Defense, Proxy/Retaliation, and Sexual Proprietariness. Homicide studies. 2012;16(4):359-79.</w:t>
      </w:r>
    </w:p>
    <w:p w14:paraId="02559736" w14:textId="73D4D6CD" w:rsidR="00687CBD" w:rsidRPr="00FB5960" w:rsidRDefault="00687CBD" w:rsidP="007520DE">
      <w:pPr>
        <w:pStyle w:val="ListParagraph"/>
        <w:numPr>
          <w:ilvl w:val="0"/>
          <w:numId w:val="39"/>
        </w:numPr>
        <w:rPr>
          <w:noProof/>
          <w:color w:val="003639" w:themeColor="text1"/>
        </w:rPr>
      </w:pPr>
      <w:r w:rsidRPr="00FB5960">
        <w:rPr>
          <w:noProof/>
          <w:color w:val="003639" w:themeColor="text1"/>
        </w:rPr>
        <w:t>Carlsson L, Lysell H, Enander V, Örmon K, Lövestad S, Krantz G. Socio-demographic and psychosocial characteristics of male and female perpetrators in intimate partner homicide: A case-control study from Region Västra Götaland, Sweden. PloS one. 2021;16(8):e0256064.</w:t>
      </w:r>
    </w:p>
    <w:p w14:paraId="28969D8E" w14:textId="1E06F611" w:rsidR="00687CBD" w:rsidRPr="00FB5960" w:rsidRDefault="00687CBD" w:rsidP="007520DE">
      <w:pPr>
        <w:pStyle w:val="ListParagraph"/>
        <w:numPr>
          <w:ilvl w:val="0"/>
          <w:numId w:val="39"/>
        </w:numPr>
        <w:rPr>
          <w:noProof/>
          <w:color w:val="003639" w:themeColor="text1"/>
        </w:rPr>
      </w:pPr>
      <w:r w:rsidRPr="00FB5960">
        <w:rPr>
          <w:noProof/>
          <w:color w:val="003639" w:themeColor="text1"/>
        </w:rPr>
        <w:t>Kolbe V, Büttner A. Domestic Violence Against Men-Prevalence and Risk Factors. Dtsch Arztebl Int. 2020;117(31-32):534-41.</w:t>
      </w:r>
    </w:p>
    <w:p w14:paraId="35270723" w14:textId="349A6BE8" w:rsidR="00687CBD" w:rsidRPr="00FB5960" w:rsidRDefault="00687CBD" w:rsidP="007520DE">
      <w:pPr>
        <w:pStyle w:val="ListParagraph"/>
        <w:numPr>
          <w:ilvl w:val="0"/>
          <w:numId w:val="39"/>
        </w:numPr>
        <w:rPr>
          <w:noProof/>
          <w:color w:val="003639" w:themeColor="text1"/>
        </w:rPr>
      </w:pPr>
      <w:r w:rsidRPr="00FB5960">
        <w:rPr>
          <w:noProof/>
          <w:color w:val="003639" w:themeColor="text1"/>
        </w:rPr>
        <w:t>Szalewski A, Huff-Corzine L, Reckdenwald A. Trading Places: Microlevel Predictors of Women Who Commit Intimate Partner Homicide. Homicide Studies. 2019;23(4):344-61.</w:t>
      </w:r>
    </w:p>
    <w:p w14:paraId="35499D30" w14:textId="71BFB71F" w:rsidR="00687CBD" w:rsidRPr="00FB5960" w:rsidRDefault="00687CBD" w:rsidP="007520DE">
      <w:pPr>
        <w:pStyle w:val="ListParagraph"/>
        <w:numPr>
          <w:ilvl w:val="0"/>
          <w:numId w:val="39"/>
        </w:numPr>
        <w:rPr>
          <w:noProof/>
          <w:color w:val="003639" w:themeColor="text1"/>
        </w:rPr>
      </w:pPr>
      <w:r w:rsidRPr="00FB5960">
        <w:rPr>
          <w:noProof/>
          <w:color w:val="003639" w:themeColor="text1"/>
        </w:rPr>
        <w:t>Kertesz M, Humphreys C, Ovenden G, Spiteri-Staines A. Women who use force: Final Report. Volume 1 – Executive Summary, Positive Shift Program, Evaluation of Positive Shift, and Practice Framework. Melbourne: University of Melbourne; 2020.</w:t>
      </w:r>
    </w:p>
    <w:p w14:paraId="641FFB40" w14:textId="07F60B01" w:rsidR="00687CBD" w:rsidRPr="00FB5960" w:rsidRDefault="00687CBD" w:rsidP="007520DE">
      <w:pPr>
        <w:pStyle w:val="ListParagraph"/>
        <w:numPr>
          <w:ilvl w:val="0"/>
          <w:numId w:val="39"/>
        </w:numPr>
        <w:rPr>
          <w:noProof/>
          <w:color w:val="003639" w:themeColor="text1"/>
        </w:rPr>
      </w:pPr>
      <w:r w:rsidRPr="00FB5960">
        <w:rPr>
          <w:noProof/>
          <w:color w:val="003639" w:themeColor="text1"/>
        </w:rPr>
        <w:t>Larance LY, Miller SL. In Her Own Words: Women Describe Their Use of Force Resulting in Court-Ordered Intervention. Violence Against Women. 2017;23(12):1536-59.</w:t>
      </w:r>
    </w:p>
    <w:p w14:paraId="39F6A4A9" w14:textId="3B99224B" w:rsidR="00687CBD" w:rsidRPr="00FB5960" w:rsidRDefault="00687CBD" w:rsidP="007520DE">
      <w:pPr>
        <w:pStyle w:val="ListParagraph"/>
        <w:numPr>
          <w:ilvl w:val="0"/>
          <w:numId w:val="39"/>
        </w:numPr>
        <w:rPr>
          <w:noProof/>
          <w:color w:val="003639" w:themeColor="text1"/>
        </w:rPr>
      </w:pPr>
      <w:r w:rsidRPr="00FB5960">
        <w:rPr>
          <w:noProof/>
          <w:color w:val="003639" w:themeColor="text1"/>
        </w:rPr>
        <w:t>Warren A, Martin R, Chung D. Women who use force: Final Report. Volume 2 – International Literature Review. Melbourne: University of Melbourne; 2020.</w:t>
      </w:r>
    </w:p>
    <w:p w14:paraId="4617BC23" w14:textId="4CCCA129" w:rsidR="00687CBD" w:rsidRPr="00FB5960" w:rsidRDefault="00687CBD" w:rsidP="007520DE">
      <w:pPr>
        <w:pStyle w:val="ListParagraph"/>
        <w:numPr>
          <w:ilvl w:val="0"/>
          <w:numId w:val="39"/>
        </w:numPr>
        <w:rPr>
          <w:noProof/>
          <w:color w:val="003639" w:themeColor="text1"/>
        </w:rPr>
      </w:pPr>
      <w:r w:rsidRPr="00FB5960">
        <w:rPr>
          <w:noProof/>
          <w:color w:val="003639" w:themeColor="text1"/>
        </w:rPr>
        <w:t>Australian Institute of Health and Welfare. Family, Domestic and Sexual Violence in Australia: Continuing the National Story. Canberra: AIHW; 2019.</w:t>
      </w:r>
    </w:p>
    <w:p w14:paraId="17997544" w14:textId="1CC183D5" w:rsidR="00687CBD" w:rsidRPr="00FB5960" w:rsidRDefault="00687CBD" w:rsidP="007520DE">
      <w:pPr>
        <w:pStyle w:val="ListParagraph"/>
        <w:numPr>
          <w:ilvl w:val="0"/>
          <w:numId w:val="39"/>
        </w:numPr>
        <w:rPr>
          <w:noProof/>
          <w:color w:val="003639" w:themeColor="text1"/>
        </w:rPr>
      </w:pPr>
      <w:r w:rsidRPr="00FB5960">
        <w:rPr>
          <w:noProof/>
          <w:color w:val="003639" w:themeColor="text1"/>
        </w:rPr>
        <w:t>Theobald D, Farrington DP, Ttofi MM, Crago RV. Risk factors for dating violence versus cohabiting violence: Results from the third generation of the Cambridge Study in Delinquent Development. Crim Behav Ment Health. 2016;26(4):229-39.</w:t>
      </w:r>
    </w:p>
    <w:p w14:paraId="18BDFD74" w14:textId="77777777" w:rsidR="00687CBD" w:rsidRPr="00687CBD" w:rsidRDefault="00687CBD" w:rsidP="00687CBD"/>
    <w:p w14:paraId="0E458436" w14:textId="77777777" w:rsidR="00042603" w:rsidRDefault="00042603" w:rsidP="00F6152B">
      <w:pPr>
        <w:pStyle w:val="Heading2"/>
      </w:pPr>
    </w:p>
    <w:p w14:paraId="0B5159F5" w14:textId="5C55DAAC" w:rsidR="00F6152B" w:rsidRDefault="00F6152B" w:rsidP="00F6152B">
      <w:pPr>
        <w:pStyle w:val="Heading2"/>
      </w:pPr>
      <w:r>
        <w:lastRenderedPageBreak/>
        <w:t>Further reading</w:t>
      </w:r>
    </w:p>
    <w:p w14:paraId="4AF4C5A0" w14:textId="77777777" w:rsidR="00F6152B" w:rsidRPr="00D338AC" w:rsidRDefault="00F6152B" w:rsidP="00F6152B">
      <w:pPr>
        <w:rPr>
          <w:rFonts w:asciiTheme="minorHAnsi" w:hAnsiTheme="minorHAnsi" w:cstheme="minorHAnsi"/>
          <w:color w:val="003639" w:themeColor="text2"/>
          <w:szCs w:val="28"/>
        </w:rPr>
      </w:pPr>
      <w:r w:rsidRPr="00D338AC">
        <w:rPr>
          <w:rStyle w:val="apple-tab-span"/>
          <w:rFonts w:asciiTheme="minorHAnsi" w:hAnsiTheme="minorHAnsi" w:cstheme="minorHAnsi"/>
          <w:color w:val="003639" w:themeColor="text2"/>
          <w:szCs w:val="28"/>
        </w:rPr>
        <w:t xml:space="preserve">All resources from Summarising the evidence can be found on the </w:t>
      </w:r>
      <w:hyperlink r:id="rId16" w:history="1">
        <w:r w:rsidRPr="00875AAD">
          <w:rPr>
            <w:rStyle w:val="Hyperlink"/>
            <w:rFonts w:asciiTheme="minorHAnsi" w:hAnsiTheme="minorHAnsi" w:cstheme="minorHAnsi"/>
            <w:szCs w:val="28"/>
          </w:rPr>
          <w:t>project page</w:t>
        </w:r>
      </w:hyperlink>
      <w:r w:rsidRPr="00D338AC">
        <w:rPr>
          <w:rStyle w:val="apple-tab-span"/>
          <w:rFonts w:asciiTheme="minorHAnsi" w:hAnsiTheme="minorHAnsi" w:cstheme="minorHAnsi"/>
          <w:color w:val="003639" w:themeColor="text2"/>
          <w:szCs w:val="28"/>
        </w:rPr>
        <w:t>.</w:t>
      </w:r>
    </w:p>
    <w:p w14:paraId="2B4E58C1" w14:textId="77777777" w:rsidR="00F6152B" w:rsidRDefault="00F6152B" w:rsidP="00F6152B">
      <w:pPr>
        <w:pStyle w:val="Heading3"/>
      </w:pPr>
      <w:r>
        <w:t>Research summaries</w:t>
      </w:r>
    </w:p>
    <w:p w14:paraId="77AF9E7B" w14:textId="77777777" w:rsidR="00F6152B" w:rsidRDefault="00F6152B" w:rsidP="007520DE">
      <w:pPr>
        <w:pStyle w:val="ListParagraph"/>
        <w:numPr>
          <w:ilvl w:val="0"/>
          <w:numId w:val="28"/>
        </w:numPr>
      </w:pPr>
      <w:r>
        <w:t>Adolescent violence in the home (E Campbell &amp; L Wall)</w:t>
      </w:r>
    </w:p>
    <w:p w14:paraId="275FC1A2" w14:textId="77777777" w:rsidR="00F6152B" w:rsidRDefault="00F6152B" w:rsidP="007520DE">
      <w:pPr>
        <w:pStyle w:val="ListParagraph"/>
        <w:numPr>
          <w:ilvl w:val="0"/>
          <w:numId w:val="28"/>
        </w:numPr>
      </w:pPr>
      <w:r>
        <w:t>Child maltreatment: a snapshot summary (D Higgins &amp; G Hunt)</w:t>
      </w:r>
    </w:p>
    <w:p w14:paraId="1F941B60" w14:textId="77777777" w:rsidR="00F6152B" w:rsidRDefault="00F6152B" w:rsidP="007520DE">
      <w:pPr>
        <w:pStyle w:val="ListParagraph"/>
        <w:numPr>
          <w:ilvl w:val="0"/>
          <w:numId w:val="28"/>
        </w:numPr>
      </w:pPr>
      <w:r>
        <w:t>Intimate partner violence perpetrated against women by men (Respect Victoria)</w:t>
      </w:r>
    </w:p>
    <w:p w14:paraId="0FEAFC35" w14:textId="3805E60A" w:rsidR="00F6152B" w:rsidRDefault="00F6152B" w:rsidP="007520DE">
      <w:pPr>
        <w:pStyle w:val="ListParagraph"/>
        <w:numPr>
          <w:ilvl w:val="0"/>
          <w:numId w:val="28"/>
        </w:numPr>
      </w:pPr>
      <w:r>
        <w:t xml:space="preserve">Intimate partner violence perpetrated by women against men (M Salter &amp; D </w:t>
      </w:r>
      <w:proofErr w:type="spellStart"/>
      <w:r w:rsidR="00006EC3" w:rsidRPr="00006EC3">
        <w:t>Woodlock</w:t>
      </w:r>
      <w:proofErr w:type="spellEnd"/>
      <w:r>
        <w:t>)</w:t>
      </w:r>
    </w:p>
    <w:p w14:paraId="44DA37EC" w14:textId="77777777" w:rsidR="00F6152B" w:rsidRDefault="00F6152B" w:rsidP="007520DE">
      <w:pPr>
        <w:pStyle w:val="ListParagraph"/>
        <w:numPr>
          <w:ilvl w:val="0"/>
          <w:numId w:val="28"/>
        </w:numPr>
      </w:pPr>
      <w:r>
        <w:t>Online violence and harassment perpetrated against women (B Harris)</w:t>
      </w:r>
    </w:p>
    <w:p w14:paraId="02A03B32" w14:textId="77777777" w:rsidR="00F6152B" w:rsidRDefault="00F6152B" w:rsidP="007520DE">
      <w:pPr>
        <w:pStyle w:val="ListParagraph"/>
        <w:numPr>
          <w:ilvl w:val="0"/>
          <w:numId w:val="28"/>
        </w:numPr>
      </w:pPr>
      <w:r>
        <w:t>Non partner sexual violence (A Quadara)</w:t>
      </w:r>
    </w:p>
    <w:p w14:paraId="580B9433" w14:textId="77777777" w:rsidR="00F6152B" w:rsidRDefault="00F6152B" w:rsidP="007520DE">
      <w:pPr>
        <w:pStyle w:val="ListParagraph"/>
        <w:numPr>
          <w:ilvl w:val="0"/>
          <w:numId w:val="28"/>
        </w:numPr>
      </w:pPr>
      <w:r>
        <w:t xml:space="preserve">Sexual harassment occurring in the world of work (S Charlesworth &amp; C </w:t>
      </w:r>
      <w:proofErr w:type="spellStart"/>
      <w:r>
        <w:t>Deen</w:t>
      </w:r>
      <w:proofErr w:type="spellEnd"/>
      <w:r>
        <w:t>)</w:t>
      </w:r>
    </w:p>
    <w:p w14:paraId="4F415AB8" w14:textId="77777777" w:rsidR="00F6152B" w:rsidRDefault="00F6152B" w:rsidP="007520DE">
      <w:pPr>
        <w:pStyle w:val="ListParagraph"/>
        <w:numPr>
          <w:ilvl w:val="0"/>
          <w:numId w:val="28"/>
        </w:numPr>
      </w:pPr>
      <w:r>
        <w:t>Violence perpetrated against older people by another family member or carer (E Stevens, R Kaspiew &amp; R Carson)</w:t>
      </w:r>
    </w:p>
    <w:p w14:paraId="19422ECC" w14:textId="77777777" w:rsidR="00F6152B" w:rsidRDefault="00F6152B" w:rsidP="00F6152B">
      <w:pPr>
        <w:pStyle w:val="Heading3"/>
      </w:pPr>
      <w:r>
        <w:t>Context briefs</w:t>
      </w:r>
    </w:p>
    <w:p w14:paraId="1B09F572" w14:textId="771EC599" w:rsidR="00F6152B" w:rsidRDefault="00F6152B" w:rsidP="007520DE">
      <w:pPr>
        <w:pStyle w:val="ListParagraph"/>
        <w:numPr>
          <w:ilvl w:val="0"/>
          <w:numId w:val="29"/>
        </w:numPr>
      </w:pPr>
      <w:r>
        <w:t xml:space="preserve">Summarising the evidence: Exploring what we know about drivers of violence against women, family violence and other forms of gendered violence - </w:t>
      </w:r>
      <w:r w:rsidR="008B6DC6">
        <w:t xml:space="preserve">Project </w:t>
      </w:r>
      <w:proofErr w:type="gramStart"/>
      <w:r w:rsidR="008B6DC6">
        <w:t>overview</w:t>
      </w:r>
      <w:proofErr w:type="gramEnd"/>
    </w:p>
    <w:p w14:paraId="6819C5C4" w14:textId="77777777" w:rsidR="00F6152B" w:rsidRDefault="00F6152B" w:rsidP="007520DE">
      <w:pPr>
        <w:pStyle w:val="ListParagraph"/>
        <w:numPr>
          <w:ilvl w:val="0"/>
          <w:numId w:val="29"/>
        </w:numPr>
      </w:pPr>
      <w:r>
        <w:t>Summarising the evidence: Adolescent violence in the home</w:t>
      </w:r>
    </w:p>
    <w:p w14:paraId="3FC4E89D" w14:textId="77777777" w:rsidR="00F6152B" w:rsidRDefault="00F6152B" w:rsidP="007520DE">
      <w:pPr>
        <w:pStyle w:val="ListParagraph"/>
        <w:numPr>
          <w:ilvl w:val="0"/>
          <w:numId w:val="29"/>
        </w:numPr>
      </w:pPr>
      <w:r>
        <w:t>Summarising the evidence: Child maltreatment</w:t>
      </w:r>
    </w:p>
    <w:p w14:paraId="001CA4E8" w14:textId="77777777" w:rsidR="00F6152B" w:rsidRDefault="00F6152B" w:rsidP="007520DE">
      <w:pPr>
        <w:pStyle w:val="ListParagraph"/>
        <w:numPr>
          <w:ilvl w:val="0"/>
          <w:numId w:val="29"/>
        </w:numPr>
      </w:pPr>
      <w:r>
        <w:t>Summarising the evidence: Elder abuse</w:t>
      </w:r>
    </w:p>
    <w:p w14:paraId="65EF11E6" w14:textId="77777777" w:rsidR="00F6152B" w:rsidRDefault="00F6152B" w:rsidP="007520DE">
      <w:pPr>
        <w:pStyle w:val="ListParagraph"/>
        <w:numPr>
          <w:ilvl w:val="0"/>
          <w:numId w:val="29"/>
        </w:numPr>
      </w:pPr>
      <w:r>
        <w:t>Summarising the evidence: Online harassment and abuse against women</w:t>
      </w:r>
    </w:p>
    <w:p w14:paraId="1F8E988C" w14:textId="77777777" w:rsidR="00F6152B" w:rsidRDefault="00F6152B" w:rsidP="007520DE">
      <w:pPr>
        <w:pStyle w:val="ListParagraph"/>
        <w:numPr>
          <w:ilvl w:val="0"/>
          <w:numId w:val="29"/>
        </w:numPr>
      </w:pPr>
      <w:r>
        <w:t>Summarising the evidence: Women’s intimate partner violence against men</w:t>
      </w:r>
    </w:p>
    <w:p w14:paraId="3C7EFB9E" w14:textId="77777777" w:rsidR="00F6152B" w:rsidRDefault="00F6152B" w:rsidP="007520DE">
      <w:pPr>
        <w:pStyle w:val="ListParagraph"/>
        <w:numPr>
          <w:ilvl w:val="0"/>
          <w:numId w:val="29"/>
        </w:numPr>
      </w:pPr>
      <w:r>
        <w:t>Summarising the evidence: Work-related sexual harassment</w:t>
      </w:r>
    </w:p>
    <w:p w14:paraId="6294E65B" w14:textId="77777777" w:rsidR="00837D46" w:rsidRDefault="00837D46" w:rsidP="00837D46">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367529DD" w14:textId="7BDAD615" w:rsidR="00F6152B" w:rsidRDefault="00FB5960" w:rsidP="00FB5960">
      <w:r w:rsidRPr="00FB5960">
        <w:t xml:space="preserve">Salter M and </w:t>
      </w:r>
      <w:proofErr w:type="spellStart"/>
      <w:r w:rsidR="00006EC3" w:rsidRPr="00006EC3">
        <w:t>Woodlock</w:t>
      </w:r>
      <w:proofErr w:type="spellEnd"/>
      <w:r w:rsidRPr="00FB5960">
        <w:t xml:space="preserve"> D. Intimate partner violence perpetrated by women against men. Melbourne: Respect Victoria.; 2023.</w:t>
      </w:r>
    </w:p>
    <w:p w14:paraId="47D3CBE4" w14:textId="77777777" w:rsidR="00F6152B" w:rsidRDefault="00F6152B" w:rsidP="00F6152B">
      <w:pPr>
        <w:pStyle w:val="Heading3"/>
      </w:pPr>
    </w:p>
    <w:p w14:paraId="3644399D" w14:textId="77777777" w:rsidR="00837D46" w:rsidRDefault="00837D46" w:rsidP="00F6152B">
      <w:pPr>
        <w:pStyle w:val="Heading3"/>
      </w:pPr>
    </w:p>
    <w:p w14:paraId="102424A3" w14:textId="77777777" w:rsidR="001B0CDE" w:rsidRDefault="001B0CDE" w:rsidP="00F6152B">
      <w:pPr>
        <w:pStyle w:val="Heading3"/>
      </w:pPr>
    </w:p>
    <w:p w14:paraId="5982908C" w14:textId="77777777" w:rsidR="002D752B" w:rsidRDefault="002D752B" w:rsidP="00F6152B">
      <w:pPr>
        <w:pStyle w:val="Heading3"/>
      </w:pPr>
    </w:p>
    <w:p w14:paraId="7432F5C9" w14:textId="77777777" w:rsidR="008C2F65" w:rsidRDefault="008C2F65" w:rsidP="00F6152B">
      <w:pPr>
        <w:pStyle w:val="Heading3"/>
      </w:pPr>
    </w:p>
    <w:p w14:paraId="6A8D95F9" w14:textId="77777777" w:rsidR="008A1DEC" w:rsidRDefault="008A1DEC" w:rsidP="00F6152B">
      <w:pPr>
        <w:pStyle w:val="Heading3"/>
      </w:pPr>
    </w:p>
    <w:p w14:paraId="2341C40B" w14:textId="77777777" w:rsidR="00F6152B" w:rsidRDefault="00F6152B" w:rsidP="00F6152B">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CC297F5" wp14:editId="604C658C">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2D0AA826" w14:textId="77777777" w:rsidR="00F6152B" w:rsidRPr="001C0F3B" w:rsidRDefault="00F6152B" w:rsidP="00F6152B">
      <w:pPr>
        <w:pStyle w:val="Heading2"/>
      </w:pPr>
      <w:r>
        <w:t xml:space="preserve">Acknowledgement of Country </w:t>
      </w:r>
    </w:p>
    <w:p w14:paraId="0CE17E98" w14:textId="77777777" w:rsidR="00F6152B" w:rsidRDefault="00F6152B" w:rsidP="00F6152B">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41C236F4" w14:textId="77777777" w:rsidR="00F6152B" w:rsidRDefault="00F6152B" w:rsidP="00F6152B">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52C30F26" w14:textId="77777777" w:rsidR="00F6152B" w:rsidRDefault="00F6152B" w:rsidP="00F6152B">
      <w:pPr>
        <w:pStyle w:val="Heading2"/>
      </w:pPr>
      <w:r>
        <w:t>Victim survivor acknowledgement</w:t>
      </w:r>
    </w:p>
    <w:p w14:paraId="2028FCD9" w14:textId="77777777" w:rsidR="00F6152B" w:rsidRDefault="00F6152B" w:rsidP="00F6152B">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3985600D" w14:textId="77777777" w:rsidR="00F6152B" w:rsidRDefault="00F6152B" w:rsidP="00F6152B"/>
    <w:p w14:paraId="5B36C8EC" w14:textId="77777777" w:rsidR="00F6152B" w:rsidRDefault="00F6152B" w:rsidP="00F6152B"/>
    <w:p w14:paraId="17C8F349" w14:textId="423FB0F8" w:rsidR="00F6152B" w:rsidRPr="008B7FAB" w:rsidRDefault="00F6152B" w:rsidP="00BC10E6">
      <w:pPr>
        <w:rPr>
          <w:rFonts w:asciiTheme="minorHAnsi" w:hAnsiTheme="minorHAnsi" w:cstheme="minorHAnsi"/>
          <w:sz w:val="18"/>
          <w:szCs w:val="18"/>
        </w:rPr>
      </w:pPr>
      <w:r>
        <w:rPr>
          <w:b/>
          <w:noProof/>
        </w:rPr>
        <mc:AlternateContent>
          <mc:Choice Requires="wps">
            <w:drawing>
              <wp:inline distT="0" distB="0" distL="0" distR="0" wp14:anchorId="2074FA01" wp14:editId="42A7BF05">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18"/>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2074FA01"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" fillcolor="#fffeef" stroked="f" strokeweight="1pt">
                <v:stroke joinstyle="miter"/>
                <v:textbox inset="8mm,8mm,8mm,8mm">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3"/>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v:textbox>
                <w10:anchorlock/>
              </v:roundrect>
            </w:pict>
          </mc:Fallback>
        </mc:AlternateContent>
      </w:r>
    </w:p>
    <w:sectPr w:rsidR="00F6152B"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9A0C" w14:textId="77777777" w:rsidR="002127D6" w:rsidRDefault="002127D6" w:rsidP="002B7883">
      <w:r>
        <w:separator/>
      </w:r>
    </w:p>
    <w:p w14:paraId="6F77834A" w14:textId="77777777" w:rsidR="002127D6" w:rsidRDefault="002127D6"/>
  </w:endnote>
  <w:endnote w:type="continuationSeparator" w:id="0">
    <w:p w14:paraId="04684C80" w14:textId="77777777" w:rsidR="002127D6" w:rsidRDefault="002127D6" w:rsidP="002B7883">
      <w:r>
        <w:continuationSeparator/>
      </w:r>
    </w:p>
    <w:p w14:paraId="304B83E5" w14:textId="77777777" w:rsidR="002127D6" w:rsidRDefault="0021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22886DC2" w:rsidR="00F04749" w:rsidRDefault="004144B4" w:rsidP="00D83132">
                <w:r w:rsidRPr="004144B4">
                  <w:t xml:space="preserve">Summarising the evidence – </w:t>
                </w:r>
                <w:r w:rsidR="004D4EDE">
                  <w:t>W</w:t>
                </w:r>
                <w:r w:rsidR="004D4EDE" w:rsidRPr="004D4EDE">
                  <w:t>omen’s intimate partner violence against men</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ABF4" w14:textId="77777777" w:rsidR="002127D6" w:rsidRDefault="002127D6" w:rsidP="002B7883">
      <w:r>
        <w:separator/>
      </w:r>
    </w:p>
    <w:p w14:paraId="333BB5B0" w14:textId="77777777" w:rsidR="002127D6" w:rsidRDefault="002127D6"/>
  </w:footnote>
  <w:footnote w:type="continuationSeparator" w:id="0">
    <w:p w14:paraId="242338D0" w14:textId="77777777" w:rsidR="002127D6" w:rsidRDefault="002127D6" w:rsidP="002B7883">
      <w:r>
        <w:continuationSeparator/>
      </w:r>
    </w:p>
    <w:p w14:paraId="76474486" w14:textId="77777777" w:rsidR="002127D6" w:rsidRDefault="002127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4CD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8A33E8"/>
    <w:multiLevelType w:val="multilevel"/>
    <w:tmpl w:val="6896AC28"/>
    <w:styleLink w:val="CurrentList29"/>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5C3"/>
    <w:multiLevelType w:val="hybridMultilevel"/>
    <w:tmpl w:val="05EA41C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B3708"/>
    <w:multiLevelType w:val="hybridMultilevel"/>
    <w:tmpl w:val="CEF05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2428A8"/>
    <w:multiLevelType w:val="hybridMultilevel"/>
    <w:tmpl w:val="E73C795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CD22B9"/>
    <w:multiLevelType w:val="hybridMultilevel"/>
    <w:tmpl w:val="AA9831A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C48CD"/>
    <w:multiLevelType w:val="hybridMultilevel"/>
    <w:tmpl w:val="E674ABF6"/>
    <w:lvl w:ilvl="0" w:tplc="8526983C">
      <w:start w:val="1"/>
      <w:numFmt w:val="bullet"/>
      <w:pStyle w:val="TableBullet1"/>
      <w:lvlText w:val=""/>
      <w:lvlJc w:val="left"/>
      <w:pPr>
        <w:ind w:left="720" w:hanging="360"/>
      </w:pPr>
      <w:rPr>
        <w:rFonts w:ascii="Wingdings" w:hAnsi="Wingdings" w:hint="default"/>
        <w:color w:val="003639"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22"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054AA"/>
    <w:multiLevelType w:val="hybridMultilevel"/>
    <w:tmpl w:val="66DA269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228C9"/>
    <w:multiLevelType w:val="multilevel"/>
    <w:tmpl w:val="20E68602"/>
    <w:styleLink w:val="CurrentList3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3"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34"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8B063C"/>
    <w:multiLevelType w:val="multilevel"/>
    <w:tmpl w:val="83B4F8E6"/>
    <w:styleLink w:val="CurrentList28"/>
    <w:lvl w:ilvl="0">
      <w:start w:val="1"/>
      <w:numFmt w:val="bullet"/>
      <w:lvlText w:val=""/>
      <w:lvlJc w:val="left"/>
      <w:pPr>
        <w:ind w:left="720" w:hanging="360"/>
      </w:pPr>
      <w:rPr>
        <w:rFonts w:ascii="Symbol" w:hAnsi="Symbol" w:hint="default"/>
        <w:color w:val="00363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88049">
    <w:abstractNumId w:val="35"/>
  </w:num>
  <w:num w:numId="2" w16cid:durableId="675349026">
    <w:abstractNumId w:val="36"/>
  </w:num>
  <w:num w:numId="3" w16cid:durableId="343823591">
    <w:abstractNumId w:val="17"/>
  </w:num>
  <w:num w:numId="4" w16cid:durableId="1527407625">
    <w:abstractNumId w:val="38"/>
  </w:num>
  <w:num w:numId="5" w16cid:durableId="1531719898">
    <w:abstractNumId w:val="6"/>
  </w:num>
  <w:num w:numId="6" w16cid:durableId="1140539399">
    <w:abstractNumId w:val="1"/>
  </w:num>
  <w:num w:numId="7" w16cid:durableId="1498765475">
    <w:abstractNumId w:val="34"/>
  </w:num>
  <w:num w:numId="8" w16cid:durableId="49234881">
    <w:abstractNumId w:val="15"/>
  </w:num>
  <w:num w:numId="9" w16cid:durableId="241764143">
    <w:abstractNumId w:val="20"/>
  </w:num>
  <w:num w:numId="10" w16cid:durableId="512258842">
    <w:abstractNumId w:val="27"/>
  </w:num>
  <w:num w:numId="11" w16cid:durableId="893009237">
    <w:abstractNumId w:val="29"/>
  </w:num>
  <w:num w:numId="12" w16cid:durableId="172383324">
    <w:abstractNumId w:val="4"/>
  </w:num>
  <w:num w:numId="13" w16cid:durableId="1877348274">
    <w:abstractNumId w:val="25"/>
  </w:num>
  <w:num w:numId="14" w16cid:durableId="191000540">
    <w:abstractNumId w:val="22"/>
  </w:num>
  <w:num w:numId="15" w16cid:durableId="2017264926">
    <w:abstractNumId w:val="28"/>
  </w:num>
  <w:num w:numId="16" w16cid:durableId="863515313">
    <w:abstractNumId w:val="23"/>
  </w:num>
  <w:num w:numId="17" w16cid:durableId="1789854579">
    <w:abstractNumId w:val="16"/>
  </w:num>
  <w:num w:numId="18" w16cid:durableId="259215056">
    <w:abstractNumId w:val="5"/>
  </w:num>
  <w:num w:numId="19" w16cid:durableId="864245401">
    <w:abstractNumId w:val="14"/>
  </w:num>
  <w:num w:numId="20" w16cid:durableId="2135251649">
    <w:abstractNumId w:val="3"/>
  </w:num>
  <w:num w:numId="21" w16cid:durableId="304893534">
    <w:abstractNumId w:val="9"/>
  </w:num>
  <w:num w:numId="22" w16cid:durableId="2112314002">
    <w:abstractNumId w:val="8"/>
  </w:num>
  <w:num w:numId="23" w16cid:durableId="2123183660">
    <w:abstractNumId w:val="24"/>
  </w:num>
  <w:num w:numId="24" w16cid:durableId="901981696">
    <w:abstractNumId w:val="26"/>
  </w:num>
  <w:num w:numId="25" w16cid:durableId="1952470059">
    <w:abstractNumId w:val="2"/>
  </w:num>
  <w:num w:numId="26" w16cid:durableId="584530676">
    <w:abstractNumId w:val="21"/>
  </w:num>
  <w:num w:numId="27" w16cid:durableId="240481680">
    <w:abstractNumId w:val="33"/>
  </w:num>
  <w:num w:numId="28" w16cid:durableId="1335721149">
    <w:abstractNumId w:val="10"/>
  </w:num>
  <w:num w:numId="29" w16cid:durableId="427700339">
    <w:abstractNumId w:val="30"/>
  </w:num>
  <w:num w:numId="30" w16cid:durableId="1995141312">
    <w:abstractNumId w:val="19"/>
  </w:num>
  <w:num w:numId="31" w16cid:durableId="1080759387">
    <w:abstractNumId w:val="0"/>
  </w:num>
  <w:num w:numId="32" w16cid:durableId="1235701848">
    <w:abstractNumId w:val="37"/>
  </w:num>
  <w:num w:numId="33" w16cid:durableId="132212155">
    <w:abstractNumId w:val="7"/>
  </w:num>
  <w:num w:numId="34" w16cid:durableId="1357122568">
    <w:abstractNumId w:val="32"/>
  </w:num>
  <w:num w:numId="35" w16cid:durableId="1420180521">
    <w:abstractNumId w:val="13"/>
  </w:num>
  <w:num w:numId="36" w16cid:durableId="443547852">
    <w:abstractNumId w:val="18"/>
  </w:num>
  <w:num w:numId="37" w16cid:durableId="1429424520">
    <w:abstractNumId w:val="11"/>
  </w:num>
  <w:num w:numId="38" w16cid:durableId="1994866477">
    <w:abstractNumId w:val="31"/>
  </w:num>
  <w:num w:numId="39" w16cid:durableId="354506358">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06EC3"/>
    <w:rsid w:val="000128F4"/>
    <w:rsid w:val="000178C9"/>
    <w:rsid w:val="0002007F"/>
    <w:rsid w:val="00024896"/>
    <w:rsid w:val="00032B1A"/>
    <w:rsid w:val="0003756B"/>
    <w:rsid w:val="00042603"/>
    <w:rsid w:val="000450A2"/>
    <w:rsid w:val="000515F9"/>
    <w:rsid w:val="000603AB"/>
    <w:rsid w:val="0006296B"/>
    <w:rsid w:val="00062BD8"/>
    <w:rsid w:val="00063E4B"/>
    <w:rsid w:val="0006525A"/>
    <w:rsid w:val="00071C2E"/>
    <w:rsid w:val="00076E46"/>
    <w:rsid w:val="00094CC2"/>
    <w:rsid w:val="00096082"/>
    <w:rsid w:val="000A2C89"/>
    <w:rsid w:val="000A30A9"/>
    <w:rsid w:val="000A4961"/>
    <w:rsid w:val="000B3977"/>
    <w:rsid w:val="000B4296"/>
    <w:rsid w:val="000D1252"/>
    <w:rsid w:val="000D272D"/>
    <w:rsid w:val="000D2A51"/>
    <w:rsid w:val="000E17D0"/>
    <w:rsid w:val="000F3667"/>
    <w:rsid w:val="000F7FCD"/>
    <w:rsid w:val="0011185A"/>
    <w:rsid w:val="00112122"/>
    <w:rsid w:val="00112B36"/>
    <w:rsid w:val="00115113"/>
    <w:rsid w:val="00123D7A"/>
    <w:rsid w:val="001250CB"/>
    <w:rsid w:val="0012516F"/>
    <w:rsid w:val="00126702"/>
    <w:rsid w:val="0013503B"/>
    <w:rsid w:val="0014682D"/>
    <w:rsid w:val="00147E41"/>
    <w:rsid w:val="0015523F"/>
    <w:rsid w:val="0016386E"/>
    <w:rsid w:val="001654F2"/>
    <w:rsid w:val="0017049A"/>
    <w:rsid w:val="00174E77"/>
    <w:rsid w:val="001763D5"/>
    <w:rsid w:val="001800BC"/>
    <w:rsid w:val="00180C01"/>
    <w:rsid w:val="00193FB2"/>
    <w:rsid w:val="00194480"/>
    <w:rsid w:val="0019723F"/>
    <w:rsid w:val="001A409B"/>
    <w:rsid w:val="001B0CDE"/>
    <w:rsid w:val="001B2B8E"/>
    <w:rsid w:val="001B5BDD"/>
    <w:rsid w:val="001D1FA9"/>
    <w:rsid w:val="001D5ACB"/>
    <w:rsid w:val="001D730A"/>
    <w:rsid w:val="001E761A"/>
    <w:rsid w:val="001F7C37"/>
    <w:rsid w:val="00202681"/>
    <w:rsid w:val="00203A24"/>
    <w:rsid w:val="00204475"/>
    <w:rsid w:val="00207778"/>
    <w:rsid w:val="002126B3"/>
    <w:rsid w:val="002127D6"/>
    <w:rsid w:val="00217FB8"/>
    <w:rsid w:val="00232655"/>
    <w:rsid w:val="00233515"/>
    <w:rsid w:val="00236097"/>
    <w:rsid w:val="00236AF0"/>
    <w:rsid w:val="002401CB"/>
    <w:rsid w:val="00242B5C"/>
    <w:rsid w:val="00245A36"/>
    <w:rsid w:val="00252D71"/>
    <w:rsid w:val="00253AB5"/>
    <w:rsid w:val="002603A9"/>
    <w:rsid w:val="002629E4"/>
    <w:rsid w:val="00267F39"/>
    <w:rsid w:val="002714C5"/>
    <w:rsid w:val="002742FD"/>
    <w:rsid w:val="002748EB"/>
    <w:rsid w:val="002814F7"/>
    <w:rsid w:val="00282114"/>
    <w:rsid w:val="0029107A"/>
    <w:rsid w:val="002A314C"/>
    <w:rsid w:val="002B1683"/>
    <w:rsid w:val="002B7883"/>
    <w:rsid w:val="002C38B4"/>
    <w:rsid w:val="002D6410"/>
    <w:rsid w:val="002D72EA"/>
    <w:rsid w:val="002D752B"/>
    <w:rsid w:val="002E09ED"/>
    <w:rsid w:val="002E1E6F"/>
    <w:rsid w:val="002E1EBB"/>
    <w:rsid w:val="002E76C8"/>
    <w:rsid w:val="002F0FCF"/>
    <w:rsid w:val="002F5149"/>
    <w:rsid w:val="003009D2"/>
    <w:rsid w:val="00303204"/>
    <w:rsid w:val="00303B2F"/>
    <w:rsid w:val="003045D6"/>
    <w:rsid w:val="003045E0"/>
    <w:rsid w:val="00304B67"/>
    <w:rsid w:val="00310463"/>
    <w:rsid w:val="00313B6B"/>
    <w:rsid w:val="00322D1C"/>
    <w:rsid w:val="00322E4C"/>
    <w:rsid w:val="00323FBD"/>
    <w:rsid w:val="00333453"/>
    <w:rsid w:val="003350E8"/>
    <w:rsid w:val="00337F3E"/>
    <w:rsid w:val="003443BE"/>
    <w:rsid w:val="0034685C"/>
    <w:rsid w:val="00346F00"/>
    <w:rsid w:val="00351CFC"/>
    <w:rsid w:val="00352757"/>
    <w:rsid w:val="003542A5"/>
    <w:rsid w:val="00355AD0"/>
    <w:rsid w:val="00361631"/>
    <w:rsid w:val="00374953"/>
    <w:rsid w:val="00374C73"/>
    <w:rsid w:val="0037663F"/>
    <w:rsid w:val="0038102A"/>
    <w:rsid w:val="00382806"/>
    <w:rsid w:val="00383FAD"/>
    <w:rsid w:val="0038475E"/>
    <w:rsid w:val="00387D34"/>
    <w:rsid w:val="0039122A"/>
    <w:rsid w:val="0039379B"/>
    <w:rsid w:val="003A4027"/>
    <w:rsid w:val="003A5AB1"/>
    <w:rsid w:val="003A6424"/>
    <w:rsid w:val="003B06B3"/>
    <w:rsid w:val="003B1873"/>
    <w:rsid w:val="003B1E39"/>
    <w:rsid w:val="003B2327"/>
    <w:rsid w:val="003B3762"/>
    <w:rsid w:val="003B4265"/>
    <w:rsid w:val="003B4C64"/>
    <w:rsid w:val="003B5FB7"/>
    <w:rsid w:val="003B677A"/>
    <w:rsid w:val="003C0758"/>
    <w:rsid w:val="003C1296"/>
    <w:rsid w:val="003C2317"/>
    <w:rsid w:val="003C3326"/>
    <w:rsid w:val="003C7753"/>
    <w:rsid w:val="003D3093"/>
    <w:rsid w:val="003E48D4"/>
    <w:rsid w:val="003F38AD"/>
    <w:rsid w:val="003F7E73"/>
    <w:rsid w:val="00401003"/>
    <w:rsid w:val="00405180"/>
    <w:rsid w:val="00410413"/>
    <w:rsid w:val="0041387B"/>
    <w:rsid w:val="004144B4"/>
    <w:rsid w:val="00420907"/>
    <w:rsid w:val="00424434"/>
    <w:rsid w:val="00433AF8"/>
    <w:rsid w:val="0043619D"/>
    <w:rsid w:val="004362BD"/>
    <w:rsid w:val="00444440"/>
    <w:rsid w:val="00447F8F"/>
    <w:rsid w:val="004538DA"/>
    <w:rsid w:val="00454BB6"/>
    <w:rsid w:val="00454F93"/>
    <w:rsid w:val="004570CD"/>
    <w:rsid w:val="00457A11"/>
    <w:rsid w:val="00460661"/>
    <w:rsid w:val="00462348"/>
    <w:rsid w:val="004628D9"/>
    <w:rsid w:val="0047459C"/>
    <w:rsid w:val="00483E2F"/>
    <w:rsid w:val="00490857"/>
    <w:rsid w:val="004908C6"/>
    <w:rsid w:val="004922AC"/>
    <w:rsid w:val="00493FF0"/>
    <w:rsid w:val="00494224"/>
    <w:rsid w:val="0049452E"/>
    <w:rsid w:val="004951D8"/>
    <w:rsid w:val="00495E31"/>
    <w:rsid w:val="004A27C5"/>
    <w:rsid w:val="004A419C"/>
    <w:rsid w:val="004A606B"/>
    <w:rsid w:val="004B1F13"/>
    <w:rsid w:val="004B72B4"/>
    <w:rsid w:val="004B79EA"/>
    <w:rsid w:val="004C0901"/>
    <w:rsid w:val="004C157D"/>
    <w:rsid w:val="004C56DD"/>
    <w:rsid w:val="004D213E"/>
    <w:rsid w:val="004D4EDE"/>
    <w:rsid w:val="004D5129"/>
    <w:rsid w:val="004D7A23"/>
    <w:rsid w:val="004D7DC5"/>
    <w:rsid w:val="004E65BA"/>
    <w:rsid w:val="00505CAA"/>
    <w:rsid w:val="005145DD"/>
    <w:rsid w:val="005204FB"/>
    <w:rsid w:val="00521B3B"/>
    <w:rsid w:val="00522A5F"/>
    <w:rsid w:val="0052642A"/>
    <w:rsid w:val="005311B7"/>
    <w:rsid w:val="00531AB1"/>
    <w:rsid w:val="00535CB4"/>
    <w:rsid w:val="00560005"/>
    <w:rsid w:val="0056659B"/>
    <w:rsid w:val="00573297"/>
    <w:rsid w:val="0057342C"/>
    <w:rsid w:val="00574EB7"/>
    <w:rsid w:val="00575FE5"/>
    <w:rsid w:val="00583294"/>
    <w:rsid w:val="00584AF4"/>
    <w:rsid w:val="00584D4C"/>
    <w:rsid w:val="00587B6B"/>
    <w:rsid w:val="00595B27"/>
    <w:rsid w:val="005A1C16"/>
    <w:rsid w:val="005A2BC2"/>
    <w:rsid w:val="005A3B23"/>
    <w:rsid w:val="005A5D41"/>
    <w:rsid w:val="005B03B7"/>
    <w:rsid w:val="005B78D1"/>
    <w:rsid w:val="005C22D7"/>
    <w:rsid w:val="005D6A94"/>
    <w:rsid w:val="005D6FCF"/>
    <w:rsid w:val="005E397C"/>
    <w:rsid w:val="005E5734"/>
    <w:rsid w:val="005E7DA8"/>
    <w:rsid w:val="005F024C"/>
    <w:rsid w:val="00602610"/>
    <w:rsid w:val="00604117"/>
    <w:rsid w:val="00604432"/>
    <w:rsid w:val="00604EB2"/>
    <w:rsid w:val="00607D7F"/>
    <w:rsid w:val="006143C4"/>
    <w:rsid w:val="006234A1"/>
    <w:rsid w:val="00625561"/>
    <w:rsid w:val="00626A3C"/>
    <w:rsid w:val="006378B4"/>
    <w:rsid w:val="00641A9D"/>
    <w:rsid w:val="006509A2"/>
    <w:rsid w:val="006512E5"/>
    <w:rsid w:val="00654100"/>
    <w:rsid w:val="00661B0C"/>
    <w:rsid w:val="006634E4"/>
    <w:rsid w:val="006711AA"/>
    <w:rsid w:val="00671A02"/>
    <w:rsid w:val="00674DDB"/>
    <w:rsid w:val="006775FA"/>
    <w:rsid w:val="00677ED1"/>
    <w:rsid w:val="006814AF"/>
    <w:rsid w:val="006832C1"/>
    <w:rsid w:val="006850E8"/>
    <w:rsid w:val="00687CBD"/>
    <w:rsid w:val="006B3855"/>
    <w:rsid w:val="006B710A"/>
    <w:rsid w:val="006C424A"/>
    <w:rsid w:val="006C4963"/>
    <w:rsid w:val="006C4A43"/>
    <w:rsid w:val="006C7937"/>
    <w:rsid w:val="006D5D7F"/>
    <w:rsid w:val="006E577C"/>
    <w:rsid w:val="006E648A"/>
    <w:rsid w:val="006F2F71"/>
    <w:rsid w:val="006F748C"/>
    <w:rsid w:val="00704EB2"/>
    <w:rsid w:val="00710667"/>
    <w:rsid w:val="00717E1E"/>
    <w:rsid w:val="00721EBC"/>
    <w:rsid w:val="00733A33"/>
    <w:rsid w:val="00733CD3"/>
    <w:rsid w:val="00736BA8"/>
    <w:rsid w:val="007420B6"/>
    <w:rsid w:val="0074469D"/>
    <w:rsid w:val="00745097"/>
    <w:rsid w:val="007520DE"/>
    <w:rsid w:val="007545C4"/>
    <w:rsid w:val="00756F1E"/>
    <w:rsid w:val="007573A6"/>
    <w:rsid w:val="00760F5E"/>
    <w:rsid w:val="0076309A"/>
    <w:rsid w:val="0076321D"/>
    <w:rsid w:val="00767D37"/>
    <w:rsid w:val="00784AB4"/>
    <w:rsid w:val="00790BC2"/>
    <w:rsid w:val="007A6177"/>
    <w:rsid w:val="007A6195"/>
    <w:rsid w:val="007A7B71"/>
    <w:rsid w:val="007C63F9"/>
    <w:rsid w:val="007D55B3"/>
    <w:rsid w:val="007E0C8C"/>
    <w:rsid w:val="00807EBF"/>
    <w:rsid w:val="008103A2"/>
    <w:rsid w:val="00812CAC"/>
    <w:rsid w:val="00815044"/>
    <w:rsid w:val="0081729B"/>
    <w:rsid w:val="00832844"/>
    <w:rsid w:val="00835A65"/>
    <w:rsid w:val="008360D5"/>
    <w:rsid w:val="00837D46"/>
    <w:rsid w:val="0084363C"/>
    <w:rsid w:val="0084538A"/>
    <w:rsid w:val="008560C8"/>
    <w:rsid w:val="00861D6F"/>
    <w:rsid w:val="00862FB0"/>
    <w:rsid w:val="00864B7F"/>
    <w:rsid w:val="00872031"/>
    <w:rsid w:val="00872066"/>
    <w:rsid w:val="00890FB7"/>
    <w:rsid w:val="00896C89"/>
    <w:rsid w:val="008A1DEC"/>
    <w:rsid w:val="008A1F68"/>
    <w:rsid w:val="008A24FA"/>
    <w:rsid w:val="008A62C4"/>
    <w:rsid w:val="008B018B"/>
    <w:rsid w:val="008B081B"/>
    <w:rsid w:val="008B6DC6"/>
    <w:rsid w:val="008B7BF7"/>
    <w:rsid w:val="008C1753"/>
    <w:rsid w:val="008C2F65"/>
    <w:rsid w:val="008C39A7"/>
    <w:rsid w:val="008C53D9"/>
    <w:rsid w:val="008C6974"/>
    <w:rsid w:val="008D00A7"/>
    <w:rsid w:val="008D1163"/>
    <w:rsid w:val="008D1422"/>
    <w:rsid w:val="008D3AC0"/>
    <w:rsid w:val="008D4AEF"/>
    <w:rsid w:val="008D7E2D"/>
    <w:rsid w:val="008E7E18"/>
    <w:rsid w:val="008F4301"/>
    <w:rsid w:val="008F462D"/>
    <w:rsid w:val="008F6694"/>
    <w:rsid w:val="00907489"/>
    <w:rsid w:val="009125AF"/>
    <w:rsid w:val="009154A9"/>
    <w:rsid w:val="00920246"/>
    <w:rsid w:val="00922C1E"/>
    <w:rsid w:val="00924AD3"/>
    <w:rsid w:val="00933FDE"/>
    <w:rsid w:val="00937D6D"/>
    <w:rsid w:val="00943924"/>
    <w:rsid w:val="00944E3E"/>
    <w:rsid w:val="009465A6"/>
    <w:rsid w:val="009508D4"/>
    <w:rsid w:val="009560F2"/>
    <w:rsid w:val="00957D9D"/>
    <w:rsid w:val="00961C9B"/>
    <w:rsid w:val="00970828"/>
    <w:rsid w:val="0097623F"/>
    <w:rsid w:val="009805BE"/>
    <w:rsid w:val="009869A1"/>
    <w:rsid w:val="009A09B9"/>
    <w:rsid w:val="009A5F86"/>
    <w:rsid w:val="009C2F54"/>
    <w:rsid w:val="009C2F6E"/>
    <w:rsid w:val="009D0081"/>
    <w:rsid w:val="009D0CF1"/>
    <w:rsid w:val="009D1D5B"/>
    <w:rsid w:val="009D1F7D"/>
    <w:rsid w:val="009D3351"/>
    <w:rsid w:val="009D3948"/>
    <w:rsid w:val="009D48C2"/>
    <w:rsid w:val="009D68B8"/>
    <w:rsid w:val="009D7FAD"/>
    <w:rsid w:val="009E309D"/>
    <w:rsid w:val="009E3FA6"/>
    <w:rsid w:val="009E51D7"/>
    <w:rsid w:val="009E59BD"/>
    <w:rsid w:val="009E7213"/>
    <w:rsid w:val="009E7B62"/>
    <w:rsid w:val="009F03ED"/>
    <w:rsid w:val="009F1366"/>
    <w:rsid w:val="009F4937"/>
    <w:rsid w:val="009F54D3"/>
    <w:rsid w:val="009F5CB3"/>
    <w:rsid w:val="009F5E0E"/>
    <w:rsid w:val="00A00662"/>
    <w:rsid w:val="00A03D3C"/>
    <w:rsid w:val="00A06058"/>
    <w:rsid w:val="00A066E1"/>
    <w:rsid w:val="00A071BF"/>
    <w:rsid w:val="00A138A4"/>
    <w:rsid w:val="00A20127"/>
    <w:rsid w:val="00A30490"/>
    <w:rsid w:val="00A3589F"/>
    <w:rsid w:val="00A409F9"/>
    <w:rsid w:val="00A61AB9"/>
    <w:rsid w:val="00A67EFF"/>
    <w:rsid w:val="00A7620E"/>
    <w:rsid w:val="00A927E8"/>
    <w:rsid w:val="00A9422D"/>
    <w:rsid w:val="00A94984"/>
    <w:rsid w:val="00A97CA6"/>
    <w:rsid w:val="00A97F74"/>
    <w:rsid w:val="00AB0BAB"/>
    <w:rsid w:val="00AB5AC3"/>
    <w:rsid w:val="00AB7ACC"/>
    <w:rsid w:val="00AC2D32"/>
    <w:rsid w:val="00AC32E2"/>
    <w:rsid w:val="00AD2AE1"/>
    <w:rsid w:val="00AE547D"/>
    <w:rsid w:val="00AE7EE8"/>
    <w:rsid w:val="00AF3D14"/>
    <w:rsid w:val="00B005FE"/>
    <w:rsid w:val="00B02A49"/>
    <w:rsid w:val="00B06239"/>
    <w:rsid w:val="00B12614"/>
    <w:rsid w:val="00B14E0C"/>
    <w:rsid w:val="00B160B4"/>
    <w:rsid w:val="00B172DD"/>
    <w:rsid w:val="00B17DFC"/>
    <w:rsid w:val="00B20479"/>
    <w:rsid w:val="00B27D9E"/>
    <w:rsid w:val="00B32B25"/>
    <w:rsid w:val="00B35920"/>
    <w:rsid w:val="00B42C5C"/>
    <w:rsid w:val="00B43D8E"/>
    <w:rsid w:val="00B51825"/>
    <w:rsid w:val="00B566DE"/>
    <w:rsid w:val="00B60987"/>
    <w:rsid w:val="00B62F01"/>
    <w:rsid w:val="00B64510"/>
    <w:rsid w:val="00B71E64"/>
    <w:rsid w:val="00B723A1"/>
    <w:rsid w:val="00B860AE"/>
    <w:rsid w:val="00B9120F"/>
    <w:rsid w:val="00B919CB"/>
    <w:rsid w:val="00BA3640"/>
    <w:rsid w:val="00BA4464"/>
    <w:rsid w:val="00BB0065"/>
    <w:rsid w:val="00BB2FC2"/>
    <w:rsid w:val="00BB4227"/>
    <w:rsid w:val="00BB71D0"/>
    <w:rsid w:val="00BC10E6"/>
    <w:rsid w:val="00BC3864"/>
    <w:rsid w:val="00BC3932"/>
    <w:rsid w:val="00BD04CF"/>
    <w:rsid w:val="00BD1EA1"/>
    <w:rsid w:val="00BD43DE"/>
    <w:rsid w:val="00BE501B"/>
    <w:rsid w:val="00BE6C2C"/>
    <w:rsid w:val="00C032AA"/>
    <w:rsid w:val="00C05D0A"/>
    <w:rsid w:val="00C14AE7"/>
    <w:rsid w:val="00C15C57"/>
    <w:rsid w:val="00C259ED"/>
    <w:rsid w:val="00C3006C"/>
    <w:rsid w:val="00C449E6"/>
    <w:rsid w:val="00C479D0"/>
    <w:rsid w:val="00C5149C"/>
    <w:rsid w:val="00C51D4B"/>
    <w:rsid w:val="00C55741"/>
    <w:rsid w:val="00C6324C"/>
    <w:rsid w:val="00C73A29"/>
    <w:rsid w:val="00C75F88"/>
    <w:rsid w:val="00C86E51"/>
    <w:rsid w:val="00C97561"/>
    <w:rsid w:val="00CA1A60"/>
    <w:rsid w:val="00CA5371"/>
    <w:rsid w:val="00CA7590"/>
    <w:rsid w:val="00CB35DD"/>
    <w:rsid w:val="00CB411C"/>
    <w:rsid w:val="00CB50FA"/>
    <w:rsid w:val="00CB5497"/>
    <w:rsid w:val="00CC4E5F"/>
    <w:rsid w:val="00CD5F12"/>
    <w:rsid w:val="00CE2C90"/>
    <w:rsid w:val="00CE2F77"/>
    <w:rsid w:val="00CF4002"/>
    <w:rsid w:val="00CF574D"/>
    <w:rsid w:val="00D039A9"/>
    <w:rsid w:val="00D06101"/>
    <w:rsid w:val="00D0724A"/>
    <w:rsid w:val="00D075B4"/>
    <w:rsid w:val="00D0774F"/>
    <w:rsid w:val="00D17A9D"/>
    <w:rsid w:val="00D20AB0"/>
    <w:rsid w:val="00D30BE8"/>
    <w:rsid w:val="00D338AC"/>
    <w:rsid w:val="00D33AC6"/>
    <w:rsid w:val="00D33FA7"/>
    <w:rsid w:val="00D36D34"/>
    <w:rsid w:val="00D4765D"/>
    <w:rsid w:val="00D51E01"/>
    <w:rsid w:val="00D639D8"/>
    <w:rsid w:val="00D7344F"/>
    <w:rsid w:val="00D818CB"/>
    <w:rsid w:val="00D83132"/>
    <w:rsid w:val="00D94744"/>
    <w:rsid w:val="00DA3F32"/>
    <w:rsid w:val="00DA423E"/>
    <w:rsid w:val="00DA6EAD"/>
    <w:rsid w:val="00DB5ED7"/>
    <w:rsid w:val="00DC2617"/>
    <w:rsid w:val="00DC550F"/>
    <w:rsid w:val="00DE2F56"/>
    <w:rsid w:val="00DE3F65"/>
    <w:rsid w:val="00DE474E"/>
    <w:rsid w:val="00DE6DB3"/>
    <w:rsid w:val="00DF11B2"/>
    <w:rsid w:val="00DF402B"/>
    <w:rsid w:val="00DF5078"/>
    <w:rsid w:val="00E11139"/>
    <w:rsid w:val="00E21BFB"/>
    <w:rsid w:val="00E2203B"/>
    <w:rsid w:val="00E2347B"/>
    <w:rsid w:val="00E24400"/>
    <w:rsid w:val="00E30A31"/>
    <w:rsid w:val="00E3168F"/>
    <w:rsid w:val="00E34C52"/>
    <w:rsid w:val="00E4366D"/>
    <w:rsid w:val="00E47653"/>
    <w:rsid w:val="00E51A27"/>
    <w:rsid w:val="00E61E84"/>
    <w:rsid w:val="00E627D5"/>
    <w:rsid w:val="00E63AAF"/>
    <w:rsid w:val="00E66133"/>
    <w:rsid w:val="00E70C32"/>
    <w:rsid w:val="00E718EF"/>
    <w:rsid w:val="00E75182"/>
    <w:rsid w:val="00E83689"/>
    <w:rsid w:val="00E90B22"/>
    <w:rsid w:val="00E97906"/>
    <w:rsid w:val="00E97F24"/>
    <w:rsid w:val="00EA095D"/>
    <w:rsid w:val="00EA4D4A"/>
    <w:rsid w:val="00EA65E3"/>
    <w:rsid w:val="00EC03C2"/>
    <w:rsid w:val="00EC1C46"/>
    <w:rsid w:val="00EC3274"/>
    <w:rsid w:val="00ED17A0"/>
    <w:rsid w:val="00EF1594"/>
    <w:rsid w:val="00EF2858"/>
    <w:rsid w:val="00F0417B"/>
    <w:rsid w:val="00F045AE"/>
    <w:rsid w:val="00F04749"/>
    <w:rsid w:val="00F04B05"/>
    <w:rsid w:val="00F25665"/>
    <w:rsid w:val="00F3360F"/>
    <w:rsid w:val="00F34A67"/>
    <w:rsid w:val="00F4155D"/>
    <w:rsid w:val="00F42F2C"/>
    <w:rsid w:val="00F44C9A"/>
    <w:rsid w:val="00F462B2"/>
    <w:rsid w:val="00F55463"/>
    <w:rsid w:val="00F6152B"/>
    <w:rsid w:val="00F61F79"/>
    <w:rsid w:val="00F667CA"/>
    <w:rsid w:val="00F6681B"/>
    <w:rsid w:val="00F712BF"/>
    <w:rsid w:val="00F73EF1"/>
    <w:rsid w:val="00F765DB"/>
    <w:rsid w:val="00F80FAB"/>
    <w:rsid w:val="00F81A68"/>
    <w:rsid w:val="00F835D7"/>
    <w:rsid w:val="00F85BF3"/>
    <w:rsid w:val="00F90B8B"/>
    <w:rsid w:val="00F9124E"/>
    <w:rsid w:val="00F932C5"/>
    <w:rsid w:val="00FA03A9"/>
    <w:rsid w:val="00FA3A09"/>
    <w:rsid w:val="00FA6EB5"/>
    <w:rsid w:val="00FB04C8"/>
    <w:rsid w:val="00FB1D51"/>
    <w:rsid w:val="00FB34A5"/>
    <w:rsid w:val="00FB5960"/>
    <w:rsid w:val="00FC0692"/>
    <w:rsid w:val="00FC39BE"/>
    <w:rsid w:val="00FD3A54"/>
    <w:rsid w:val="00FE0C04"/>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7D55B3"/>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1"/>
      </w:numPr>
    </w:pPr>
  </w:style>
  <w:style w:type="numbering" w:customStyle="1" w:styleId="CurrentList2">
    <w:name w:val="Current List2"/>
    <w:uiPriority w:val="99"/>
    <w:rsid w:val="00374953"/>
    <w:pPr>
      <w:numPr>
        <w:numId w:val="2"/>
      </w:numPr>
    </w:pPr>
  </w:style>
  <w:style w:type="numbering" w:customStyle="1" w:styleId="CurrentList3">
    <w:name w:val="Current List3"/>
    <w:uiPriority w:val="99"/>
    <w:rsid w:val="00374953"/>
    <w:pPr>
      <w:numPr>
        <w:numId w:val="3"/>
      </w:numPr>
    </w:pPr>
  </w:style>
  <w:style w:type="numbering" w:customStyle="1" w:styleId="CurrentList4">
    <w:name w:val="Current List4"/>
    <w:uiPriority w:val="99"/>
    <w:rsid w:val="00374953"/>
    <w:pPr>
      <w:numPr>
        <w:numId w:val="4"/>
      </w:numPr>
    </w:pPr>
  </w:style>
  <w:style w:type="numbering" w:customStyle="1" w:styleId="CurrentList5">
    <w:name w:val="Current List5"/>
    <w:uiPriority w:val="99"/>
    <w:rsid w:val="00374953"/>
    <w:pPr>
      <w:numPr>
        <w:numId w:val="5"/>
      </w:numPr>
    </w:pPr>
  </w:style>
  <w:style w:type="numbering" w:customStyle="1" w:styleId="CurrentList6">
    <w:name w:val="Current List6"/>
    <w:uiPriority w:val="99"/>
    <w:rsid w:val="00374953"/>
    <w:pPr>
      <w:numPr>
        <w:numId w:val="6"/>
      </w:numPr>
    </w:pPr>
  </w:style>
  <w:style w:type="numbering" w:customStyle="1" w:styleId="CurrentList7">
    <w:name w:val="Current List7"/>
    <w:uiPriority w:val="99"/>
    <w:rsid w:val="00374953"/>
    <w:pPr>
      <w:numPr>
        <w:numId w:val="7"/>
      </w:numPr>
    </w:pPr>
  </w:style>
  <w:style w:type="numbering" w:customStyle="1" w:styleId="CurrentList8">
    <w:name w:val="Current List8"/>
    <w:uiPriority w:val="99"/>
    <w:rsid w:val="00E97906"/>
    <w:pPr>
      <w:numPr>
        <w:numId w:val="8"/>
      </w:numPr>
    </w:pPr>
  </w:style>
  <w:style w:type="numbering" w:customStyle="1" w:styleId="CurrentList9">
    <w:name w:val="Current List9"/>
    <w:uiPriority w:val="99"/>
    <w:rsid w:val="00E97906"/>
    <w:pPr>
      <w:numPr>
        <w:numId w:val="9"/>
      </w:numPr>
    </w:pPr>
  </w:style>
  <w:style w:type="numbering" w:customStyle="1" w:styleId="CurrentList10">
    <w:name w:val="Current List10"/>
    <w:uiPriority w:val="99"/>
    <w:rsid w:val="00E97906"/>
    <w:pPr>
      <w:numPr>
        <w:numId w:val="10"/>
      </w:numPr>
    </w:pPr>
  </w:style>
  <w:style w:type="numbering" w:customStyle="1" w:styleId="CurrentList11">
    <w:name w:val="Current List11"/>
    <w:uiPriority w:val="99"/>
    <w:rsid w:val="00E97906"/>
    <w:pPr>
      <w:numPr>
        <w:numId w:val="11"/>
      </w:numPr>
    </w:pPr>
  </w:style>
  <w:style w:type="numbering" w:customStyle="1" w:styleId="CurrentList12">
    <w:name w:val="Current List12"/>
    <w:uiPriority w:val="99"/>
    <w:rsid w:val="00E97906"/>
    <w:pPr>
      <w:numPr>
        <w:numId w:val="12"/>
      </w:numPr>
    </w:pPr>
  </w:style>
  <w:style w:type="numbering" w:customStyle="1" w:styleId="CurrentList13">
    <w:name w:val="Current List13"/>
    <w:uiPriority w:val="99"/>
    <w:rsid w:val="006C4963"/>
    <w:pPr>
      <w:numPr>
        <w:numId w:val="13"/>
      </w:numPr>
    </w:pPr>
  </w:style>
  <w:style w:type="numbering" w:customStyle="1" w:styleId="CurrentList14">
    <w:name w:val="Current List14"/>
    <w:uiPriority w:val="99"/>
    <w:rsid w:val="006C4963"/>
    <w:pPr>
      <w:numPr>
        <w:numId w:val="14"/>
      </w:numPr>
    </w:pPr>
  </w:style>
  <w:style w:type="numbering" w:customStyle="1" w:styleId="CurrentList15">
    <w:name w:val="Current List15"/>
    <w:uiPriority w:val="99"/>
    <w:rsid w:val="00112B36"/>
    <w:pPr>
      <w:numPr>
        <w:numId w:val="15"/>
      </w:numPr>
    </w:pPr>
  </w:style>
  <w:style w:type="numbering" w:customStyle="1" w:styleId="CurrentList16">
    <w:name w:val="Current List16"/>
    <w:uiPriority w:val="99"/>
    <w:rsid w:val="00112B36"/>
    <w:pPr>
      <w:numPr>
        <w:numId w:val="16"/>
      </w:numPr>
    </w:pPr>
  </w:style>
  <w:style w:type="numbering" w:customStyle="1" w:styleId="CurrentList17">
    <w:name w:val="Current List17"/>
    <w:uiPriority w:val="99"/>
    <w:rsid w:val="00112B36"/>
    <w:pPr>
      <w:numPr>
        <w:numId w:val="17"/>
      </w:numPr>
    </w:pPr>
  </w:style>
  <w:style w:type="numbering" w:customStyle="1" w:styleId="CurrentList18">
    <w:name w:val="Current List18"/>
    <w:uiPriority w:val="99"/>
    <w:rsid w:val="00112B36"/>
    <w:pPr>
      <w:numPr>
        <w:numId w:val="18"/>
      </w:numPr>
    </w:pPr>
  </w:style>
  <w:style w:type="numbering" w:customStyle="1" w:styleId="CurrentList19">
    <w:name w:val="Current List19"/>
    <w:uiPriority w:val="99"/>
    <w:rsid w:val="00112B36"/>
    <w:pPr>
      <w:numPr>
        <w:numId w:val="19"/>
      </w:numPr>
    </w:pPr>
  </w:style>
  <w:style w:type="numbering" w:customStyle="1" w:styleId="CurrentList20">
    <w:name w:val="Current List20"/>
    <w:uiPriority w:val="99"/>
    <w:rsid w:val="00112B36"/>
    <w:pPr>
      <w:numPr>
        <w:numId w:val="20"/>
      </w:numPr>
    </w:pPr>
  </w:style>
  <w:style w:type="numbering" w:customStyle="1" w:styleId="CurrentList21">
    <w:name w:val="Current List21"/>
    <w:uiPriority w:val="99"/>
    <w:rsid w:val="00112B36"/>
    <w:pPr>
      <w:numPr>
        <w:numId w:val="21"/>
      </w:numPr>
    </w:pPr>
  </w:style>
  <w:style w:type="numbering" w:customStyle="1" w:styleId="CurrentList22">
    <w:name w:val="Current List22"/>
    <w:uiPriority w:val="99"/>
    <w:rsid w:val="008C53D9"/>
    <w:pPr>
      <w:numPr>
        <w:numId w:val="22"/>
      </w:numPr>
    </w:pPr>
  </w:style>
  <w:style w:type="numbering" w:customStyle="1" w:styleId="CurrentList23">
    <w:name w:val="Current List23"/>
    <w:uiPriority w:val="99"/>
    <w:rsid w:val="008C53D9"/>
    <w:pPr>
      <w:numPr>
        <w:numId w:val="23"/>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24"/>
      </w:numPr>
    </w:pPr>
  </w:style>
  <w:style w:type="numbering" w:customStyle="1" w:styleId="CurrentList25">
    <w:name w:val="Current List25"/>
    <w:uiPriority w:val="99"/>
    <w:rsid w:val="00872031"/>
    <w:pPr>
      <w:numPr>
        <w:numId w:val="25"/>
      </w:numPr>
    </w:pPr>
  </w:style>
  <w:style w:type="numbering" w:customStyle="1" w:styleId="CurrentList26">
    <w:name w:val="Current List26"/>
    <w:uiPriority w:val="99"/>
    <w:rsid w:val="00872031"/>
    <w:pPr>
      <w:numPr>
        <w:numId w:val="26"/>
      </w:numPr>
    </w:pPr>
  </w:style>
  <w:style w:type="numbering" w:customStyle="1" w:styleId="CurrentList27">
    <w:name w:val="Current List27"/>
    <w:uiPriority w:val="99"/>
    <w:rsid w:val="00872031"/>
    <w:pPr>
      <w:numPr>
        <w:numId w:val="27"/>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paragraph" w:styleId="BodyText">
    <w:name w:val="Body Text"/>
    <w:basedOn w:val="Normal"/>
    <w:link w:val="BodyTextChar"/>
    <w:uiPriority w:val="99"/>
    <w:unhideWhenUsed/>
    <w:qFormat/>
    <w:rsid w:val="00522A5F"/>
    <w:pPr>
      <w:spacing w:after="120" w:line="259"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522A5F"/>
  </w:style>
  <w:style w:type="paragraph" w:customStyle="1" w:styleId="TableBullet1">
    <w:name w:val="Table Bullet 1"/>
    <w:basedOn w:val="Normal"/>
    <w:rsid w:val="00522A5F"/>
    <w:pPr>
      <w:keepNext/>
      <w:numPr>
        <w:numId w:val="30"/>
      </w:numPr>
      <w:spacing w:before="60" w:after="60" w:line="240" w:lineRule="auto"/>
      <w:ind w:left="170" w:hanging="142"/>
    </w:pPr>
    <w:rPr>
      <w:rFonts w:ascii="Times New Roman" w:eastAsia="Times New Roman" w:hAnsi="Times New Roman" w:cs="Times New Roman"/>
      <w:color w:val="auto"/>
      <w:sz w:val="16"/>
      <w:szCs w:val="24"/>
      <w:lang w:val="en-US" w:eastAsia="en-AU" w:bidi="en-US"/>
    </w:rPr>
  </w:style>
  <w:style w:type="paragraph" w:styleId="ListBullet">
    <w:name w:val="List Bullet"/>
    <w:basedOn w:val="BodyText"/>
    <w:qFormat/>
    <w:rsid w:val="00522A5F"/>
    <w:pPr>
      <w:numPr>
        <w:numId w:val="31"/>
      </w:numPr>
      <w:tabs>
        <w:tab w:val="clear" w:pos="360"/>
        <w:tab w:val="num" w:pos="425"/>
      </w:tabs>
      <w:spacing w:before="60" w:after="0" w:line="240" w:lineRule="auto"/>
      <w:ind w:left="425" w:hanging="425"/>
    </w:pPr>
    <w:rPr>
      <w:rFonts w:ascii="Times New Roman" w:eastAsia="Times New Roman" w:hAnsi="Times New Roman" w:cs="Times New Roman"/>
      <w:sz w:val="24"/>
      <w:szCs w:val="24"/>
      <w:lang w:eastAsia="en-GB" w:bidi="en-US"/>
    </w:rPr>
  </w:style>
  <w:style w:type="paragraph" w:customStyle="1" w:styleId="TableText">
    <w:name w:val="Table Text"/>
    <w:basedOn w:val="BodyText"/>
    <w:rsid w:val="00522A5F"/>
    <w:pPr>
      <w:keepNext/>
      <w:suppressAutoHyphens/>
      <w:spacing w:before="60" w:after="60" w:line="240" w:lineRule="auto"/>
    </w:pPr>
    <w:rPr>
      <w:rFonts w:ascii="Arial" w:eastAsia="Times New Roman" w:hAnsi="Arial" w:cs="Times New Roman"/>
      <w:color w:val="2C2624"/>
      <w:sz w:val="20"/>
      <w:szCs w:val="20"/>
      <w:lang w:val="en-US" w:eastAsia="en-AU"/>
    </w:rPr>
  </w:style>
  <w:style w:type="numbering" w:customStyle="1" w:styleId="CurrentList28">
    <w:name w:val="Current List28"/>
    <w:uiPriority w:val="99"/>
    <w:rsid w:val="007A6195"/>
    <w:pPr>
      <w:numPr>
        <w:numId w:val="32"/>
      </w:numPr>
    </w:pPr>
  </w:style>
  <w:style w:type="numbering" w:customStyle="1" w:styleId="CurrentList29">
    <w:name w:val="Current List29"/>
    <w:uiPriority w:val="99"/>
    <w:rsid w:val="00EC3274"/>
    <w:pPr>
      <w:numPr>
        <w:numId w:val="33"/>
      </w:numPr>
    </w:pPr>
  </w:style>
  <w:style w:type="numbering" w:customStyle="1" w:styleId="CurrentList30">
    <w:name w:val="Current List30"/>
    <w:uiPriority w:val="99"/>
    <w:rsid w:val="008A62C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586304897">
      <w:bodyDiv w:val="1"/>
      <w:marLeft w:val="0"/>
      <w:marRight w:val="0"/>
      <w:marTop w:val="0"/>
      <w:marBottom w:val="0"/>
      <w:divBdr>
        <w:top w:val="none" w:sz="0" w:space="0" w:color="auto"/>
        <w:left w:val="none" w:sz="0" w:space="0" w:color="auto"/>
        <w:bottom w:val="none" w:sz="0" w:space="0" w:color="auto"/>
        <w:right w:val="none" w:sz="0" w:space="0" w:color="auto"/>
      </w:divBdr>
      <w:divsChild>
        <w:div w:id="1336228847">
          <w:marLeft w:val="0"/>
          <w:marRight w:val="0"/>
          <w:marTop w:val="0"/>
          <w:marBottom w:val="0"/>
          <w:divBdr>
            <w:top w:val="none" w:sz="0" w:space="0" w:color="auto"/>
            <w:left w:val="none" w:sz="0" w:space="0" w:color="auto"/>
            <w:bottom w:val="none" w:sz="0" w:space="0" w:color="auto"/>
            <w:right w:val="none" w:sz="0" w:space="0" w:color="auto"/>
          </w:divBdr>
        </w:div>
      </w:divsChild>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 w:id="2069496937">
      <w:bodyDiv w:val="1"/>
      <w:marLeft w:val="0"/>
      <w:marRight w:val="0"/>
      <w:marTop w:val="0"/>
      <w:marBottom w:val="0"/>
      <w:divBdr>
        <w:top w:val="none" w:sz="0" w:space="0" w:color="auto"/>
        <w:left w:val="none" w:sz="0" w:space="0" w:color="auto"/>
        <w:bottom w:val="none" w:sz="0" w:space="0" w:color="auto"/>
        <w:right w:val="none" w:sz="0" w:space="0" w:color="auto"/>
      </w:divBdr>
      <w:divsChild>
        <w:div w:id="93567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pectvictoria.vic.gov.au/what-we-know-about-drivers-of-viol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s.gov.au/statistics/people/crime-and-justice/personal-safety-australia/latest-release" TargetMode="External"/><Relationship Id="rId23" Type="http://schemas.openxmlformats.org/officeDocument/2006/relationships/image" Target="media/image40.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475A56C0-A26B-42C9-9370-A898447D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3.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4.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11</cp:revision>
  <cp:lastPrinted>2023-12-17T22:18:00Z</cp:lastPrinted>
  <dcterms:created xsi:type="dcterms:W3CDTF">2023-12-18T06:02:00Z</dcterms:created>
  <dcterms:modified xsi:type="dcterms:W3CDTF">2023-12-19T07:44:00Z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